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97E" w:rsidRDefault="00FB397E" w:rsidP="000D41F0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F12589">
        <w:rPr>
          <w:rFonts w:asciiTheme="majorBidi" w:hAnsiTheme="majorBidi" w:cstheme="majorBidi"/>
          <w:sz w:val="24"/>
          <w:szCs w:val="24"/>
        </w:rPr>
        <w:t>Rachi au cœur du texte –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D41F0">
        <w:rPr>
          <w:rFonts w:asciiTheme="majorBidi" w:hAnsiTheme="majorBidi" w:cstheme="majorBidi"/>
          <w:sz w:val="24"/>
          <w:szCs w:val="24"/>
        </w:rPr>
        <w:t>Kedochim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F12589">
        <w:rPr>
          <w:rFonts w:asciiTheme="majorBidi" w:hAnsiTheme="majorBidi" w:cstheme="majorBidi"/>
          <w:sz w:val="24"/>
          <w:szCs w:val="24"/>
        </w:rPr>
        <w:t>5776</w:t>
      </w:r>
    </w:p>
    <w:p w:rsidR="00FB397E" w:rsidRPr="009D49F2" w:rsidRDefault="000D41F0" w:rsidP="000D41F0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D49F2">
        <w:rPr>
          <w:rFonts w:asciiTheme="majorBidi" w:hAnsiTheme="majorBidi" w:cstheme="majorBidi"/>
          <w:b/>
          <w:bCs/>
          <w:sz w:val="24"/>
          <w:szCs w:val="24"/>
        </w:rPr>
        <w:t xml:space="preserve">Communiquer </w:t>
      </w:r>
      <w:r w:rsidR="009D49F2" w:rsidRPr="009D49F2">
        <w:rPr>
          <w:rFonts w:asciiTheme="majorBidi" w:hAnsiTheme="majorBidi" w:cstheme="majorBidi"/>
          <w:b/>
          <w:bCs/>
          <w:sz w:val="24"/>
          <w:szCs w:val="24"/>
        </w:rPr>
        <w:t xml:space="preserve">                </w:t>
      </w:r>
      <w:r w:rsidR="00E024D5" w:rsidRPr="009D49F2">
        <w:rPr>
          <w:rFonts w:asciiTheme="majorBidi" w:hAnsiTheme="majorBidi" w:cstheme="majorBidi"/>
          <w:b/>
          <w:bCs/>
          <w:sz w:val="24"/>
          <w:szCs w:val="24"/>
        </w:rPr>
        <w:t>Lev</w:t>
      </w:r>
      <w:r w:rsidR="00FB397E" w:rsidRPr="009D49F2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9D49F2">
        <w:rPr>
          <w:rFonts w:asciiTheme="majorBidi" w:hAnsiTheme="majorBidi" w:cstheme="majorBidi"/>
          <w:b/>
          <w:bCs/>
          <w:sz w:val="24"/>
          <w:szCs w:val="24"/>
        </w:rPr>
        <w:t>19 :16-18</w:t>
      </w:r>
    </w:p>
    <w:p w:rsidR="000D41F0" w:rsidRPr="00BE35B0" w:rsidRDefault="000D41F0" w:rsidP="000D41F0">
      <w:pPr>
        <w:pStyle w:val="NormalWeb"/>
        <w:bidi/>
        <w:spacing w:before="0" w:beforeAutospacing="0" w:after="0" w:afterAutospacing="0"/>
        <w:jc w:val="both"/>
        <w:rPr>
          <w:sz w:val="26"/>
          <w:szCs w:val="26"/>
        </w:rPr>
      </w:pPr>
      <w:r w:rsidRPr="00BE35B0">
        <w:rPr>
          <w:rStyle w:val="name"/>
          <w:sz w:val="26"/>
          <w:szCs w:val="26"/>
          <w:rtl/>
        </w:rPr>
        <w:t>לֹא-תֵלֵךְ רָכִיל</w:t>
      </w:r>
      <w:r w:rsidRPr="00BE35B0">
        <w:rPr>
          <w:rStyle w:val="name"/>
          <w:sz w:val="26"/>
          <w:szCs w:val="26"/>
        </w:rPr>
        <w:t>,</w:t>
      </w:r>
      <w:r w:rsidRPr="00BE35B0">
        <w:rPr>
          <w:sz w:val="26"/>
          <w:szCs w:val="26"/>
        </w:rPr>
        <w:t> </w:t>
      </w:r>
      <w:r w:rsidRPr="00BE35B0">
        <w:rPr>
          <w:rStyle w:val="text"/>
          <w:sz w:val="26"/>
          <w:szCs w:val="26"/>
          <w:rtl/>
        </w:rPr>
        <w:t>אֲנִי אוֹמֵר: עַל-שֵׁם שֶׁכָּל מְשַׁלְּחֵי מְדָנִים וּמְסַפְּרֵי לָשׁוֹן הָרָע, הוֹלְכִים בְּבָתֵּי רֵעֵיהֶם לְרַגֵּל מַה יִּרְאוּ רַע, אוֹ מַה יִּשְׁמְעוּ רַע לְסַפֵּר בַּשּׁוּק, נִקְרָאִים 'הוֹלְכֵי רָכִיל</w:t>
      </w:r>
      <w:r w:rsidRPr="00BE35B0">
        <w:rPr>
          <w:rStyle w:val="text"/>
          <w:sz w:val="26"/>
          <w:szCs w:val="26"/>
        </w:rPr>
        <w:t xml:space="preserve">', </w:t>
      </w:r>
      <w:r w:rsidRPr="00BE35B0">
        <w:rPr>
          <w:rStyle w:val="text"/>
          <w:sz w:val="26"/>
          <w:szCs w:val="26"/>
          <w:rtl/>
        </w:rPr>
        <w:t>הוֹלְכֵי רְגִילָה אשפיימנ"ט בְּלַעַ"ז. וּרְאָיָה לִדְבָרַי, שֶׁלֹּא מָצִינוּ 'רְכִילוּת' שֶׁאֵין כָּתוּב בִּלְשׁוֹן 'הֲלִיכָה': "לֹא תֵלֵךְ רָכִיל", "הֹלְכֵי רָכִיל נְחֹשֶׁת וּבַרְזֶל" (ירמיה, ו, כח); וּשְׁאָר לָשׁוֹן הָרָע אֵין כָּתוּב בּוֹ הֲלִיכָה (תהילים, קא, ה): "מְלָשְׁנִי בַסֵּתֶר רֵעֵהוּ", (שם, קכ, ג): "לָשׁוֹן רְמִיָּה", (שם, יב, ד</w:t>
      </w:r>
      <w:r w:rsidRPr="00BE35B0">
        <w:rPr>
          <w:rStyle w:val="text"/>
          <w:sz w:val="26"/>
          <w:szCs w:val="26"/>
        </w:rPr>
        <w:t>): "</w:t>
      </w:r>
      <w:r w:rsidRPr="00BE35B0">
        <w:rPr>
          <w:rStyle w:val="text"/>
          <w:sz w:val="26"/>
          <w:szCs w:val="26"/>
          <w:rtl/>
        </w:rPr>
        <w:t>לָשׁוֹן מְדַבֶּרֶת גְּדֹלוֹת". לְכָךְ אֲנִי אוֹמֵר: "רָכִיל", לְשׁוֹן הוֹלֵךְ וּמְרַגֵּל, שֶׁהַכַּ"ף נֶחֱלֶפֶת בְּגִימֶ"ל, שֶׁכָּל הָאוֹתִיּוֹת שֶׁמּוֹצָאֵיהֶם מִמָּקוֹם אֶחָד מִתְחַלְּפוֹת זוֹ בָּזוֹ</w:t>
      </w:r>
      <w:r w:rsidRPr="00BE35B0">
        <w:rPr>
          <w:rStyle w:val="text"/>
          <w:sz w:val="26"/>
          <w:szCs w:val="26"/>
        </w:rPr>
        <w:t xml:space="preserve">; </w:t>
      </w:r>
      <w:r w:rsidRPr="00BE35B0">
        <w:rPr>
          <w:rStyle w:val="text"/>
          <w:sz w:val="26"/>
          <w:szCs w:val="26"/>
          <w:rtl/>
        </w:rPr>
        <w:t>בֵּי"ת בְּפֵ"א, וְגִימֶ"ל בְּכָ"ף, וְקוֹ"ף בְּכָ"ף, וְנוּ"ן בְּלָמֶ"ד</w:t>
      </w:r>
      <w:r w:rsidRPr="00BE35B0">
        <w:rPr>
          <w:rStyle w:val="text"/>
          <w:sz w:val="26"/>
          <w:szCs w:val="26"/>
        </w:rPr>
        <w:t xml:space="preserve">, </w:t>
      </w:r>
      <w:r w:rsidRPr="00BE35B0">
        <w:rPr>
          <w:rStyle w:val="text"/>
          <w:sz w:val="26"/>
          <w:szCs w:val="26"/>
          <w:rtl/>
        </w:rPr>
        <w:t>וְזַיִ"ן בְּצָדִ"י. וְכֵן (שמואל ב, יט, כח): "וַיְרַגֵּל בְּעַבְדְּךָ</w:t>
      </w:r>
      <w:r w:rsidRPr="00BE35B0">
        <w:rPr>
          <w:rStyle w:val="text"/>
          <w:sz w:val="26"/>
          <w:szCs w:val="26"/>
        </w:rPr>
        <w:t xml:space="preserve">", </w:t>
      </w:r>
      <w:r w:rsidRPr="00BE35B0">
        <w:rPr>
          <w:rStyle w:val="text"/>
          <w:sz w:val="26"/>
          <w:szCs w:val="26"/>
          <w:rtl/>
        </w:rPr>
        <w:t>רִגֵּל בְּמִרְמָה לֵאמֹר עָלַי רָעָה, וְכֵן (תהילים, טו, ג): "לֹא רָגַל עַל-לְשֹׁנוֹ", וְכֵן רוֹכֵל, הַסּוֹחֵר וּמְרַגֵּל אַחַר כָּל סְחוֹרָה</w:t>
      </w:r>
      <w:r w:rsidRPr="00BE35B0">
        <w:rPr>
          <w:rStyle w:val="text"/>
          <w:sz w:val="26"/>
          <w:szCs w:val="26"/>
        </w:rPr>
        <w:t xml:space="preserve">, </w:t>
      </w:r>
      <w:r w:rsidRPr="00BE35B0">
        <w:rPr>
          <w:rStyle w:val="text"/>
          <w:sz w:val="26"/>
          <w:szCs w:val="26"/>
          <w:rtl/>
        </w:rPr>
        <w:t>וְכֵן הַמּוֹכֵר בְּשָׂמִים לְהִתְקַשֵּׁט בָּהֶם הַנָּשִׁים, עַל-שֵׁם שֶׁמְּחַזֵּר תָּמִיד בָּעֲיָרוֹת, נִקְרָא 'רוֹכֵל' לְשׁוֹן רוֹגֵל</w:t>
      </w:r>
      <w:r w:rsidRPr="00BE35B0">
        <w:rPr>
          <w:rStyle w:val="text"/>
          <w:sz w:val="26"/>
          <w:szCs w:val="26"/>
        </w:rPr>
        <w:t xml:space="preserve">. </w:t>
      </w:r>
      <w:r w:rsidRPr="00BE35B0">
        <w:rPr>
          <w:rStyle w:val="text"/>
          <w:sz w:val="26"/>
          <w:szCs w:val="26"/>
          <w:rtl/>
        </w:rPr>
        <w:t>וְתַרְגּוּמוֹ: "לָא תֵיכוֹל קוּרְצִין", כְּמוֹ (דניאל, ג, ח): "וַאֲכַלוּ קַרְצֵיהוֹן דִּי יְהוּדָיֵא"; "אֲכַל בֵּהּ קֻרְצָא בֵּי מַלְכָּא</w:t>
      </w:r>
      <w:r w:rsidRPr="00BE35B0">
        <w:rPr>
          <w:rStyle w:val="text"/>
          <w:sz w:val="26"/>
          <w:szCs w:val="26"/>
        </w:rPr>
        <w:t xml:space="preserve">". </w:t>
      </w:r>
      <w:r w:rsidRPr="00BE35B0">
        <w:rPr>
          <w:rStyle w:val="text"/>
          <w:sz w:val="26"/>
          <w:szCs w:val="26"/>
          <w:rtl/>
        </w:rPr>
        <w:t>נִרְאֶה בְּעֵינַי, שֶׁהָיָה מִשְׁפָּטָם לֶאֱכֹל בְּבֵית הַמְקַבֵּל דִּבְרֵיהֶם שׁוּם הַלְעָטָה, וְהוּא גְּמַר חִזּוּק, שֶׁדְּבָרָיו מְקֻיָּמִים וּמַעֲמִידָם עַל הָאֱמֶת, וְאוֹתָהּ הַלְעָטָה נִקְרֵאת</w:t>
      </w:r>
      <w:r w:rsidRPr="00BE35B0">
        <w:rPr>
          <w:rStyle w:val="text"/>
          <w:sz w:val="26"/>
          <w:szCs w:val="26"/>
        </w:rPr>
        <w:t>: "</w:t>
      </w:r>
      <w:r w:rsidRPr="00BE35B0">
        <w:rPr>
          <w:rStyle w:val="text"/>
          <w:sz w:val="26"/>
          <w:szCs w:val="26"/>
          <w:rtl/>
        </w:rPr>
        <w:t>אֲכִילַת קוּרְצִין", לְשׁוֹן "קֹרֵץ בְּעֵינָיו" (משלי, ו, יג), שֶׁכֵּן דֶּרֶךְ כָּל הוֹלְכֵי רָכִיל לִקְרֹץ בְּעֵינֵיהֶם וְלִרְמֹז דִּבְרֵי רְכִילוּתָן, שֶׁלֹּא יָבִינוּ שְׁאָר הַשּׁוֹמְעִים</w:t>
      </w:r>
      <w:r w:rsidRPr="00BE35B0">
        <w:rPr>
          <w:rStyle w:val="text"/>
          <w:sz w:val="26"/>
          <w:szCs w:val="26"/>
        </w:rPr>
        <w:t>.</w:t>
      </w:r>
      <w:r w:rsidRPr="00BE35B0">
        <w:rPr>
          <w:sz w:val="26"/>
          <w:szCs w:val="26"/>
        </w:rPr>
        <w:t xml:space="preserve"> </w:t>
      </w:r>
    </w:p>
    <w:p w:rsidR="000D41F0" w:rsidRPr="00BE35B0" w:rsidRDefault="000D41F0" w:rsidP="000D41F0">
      <w:pPr>
        <w:pStyle w:val="NormalWeb"/>
        <w:bidi/>
        <w:spacing w:before="0" w:beforeAutospacing="0" w:after="0" w:afterAutospacing="0"/>
        <w:jc w:val="both"/>
        <w:rPr>
          <w:sz w:val="26"/>
          <w:szCs w:val="26"/>
        </w:rPr>
      </w:pPr>
      <w:r w:rsidRPr="00BE35B0">
        <w:rPr>
          <w:rStyle w:val="name"/>
          <w:sz w:val="26"/>
          <w:szCs w:val="26"/>
          <w:rtl/>
        </w:rPr>
        <w:t>לֹא תַעֲמֹד עַל-דַּם רֵעֶךָ</w:t>
      </w:r>
      <w:r w:rsidRPr="00BE35B0">
        <w:rPr>
          <w:rStyle w:val="name"/>
          <w:sz w:val="26"/>
          <w:szCs w:val="26"/>
        </w:rPr>
        <w:t>,</w:t>
      </w:r>
      <w:r w:rsidRPr="00BE35B0">
        <w:rPr>
          <w:sz w:val="26"/>
          <w:szCs w:val="26"/>
        </w:rPr>
        <w:t> </w:t>
      </w:r>
      <w:r w:rsidRPr="00BE35B0">
        <w:rPr>
          <w:rStyle w:val="text"/>
          <w:sz w:val="26"/>
          <w:szCs w:val="26"/>
          <w:rtl/>
        </w:rPr>
        <w:t>לִרְאוֹת בְּמִיתָתוֹ וְאַתָּה יָכוֹל לְהַצִּילוֹ (ת"כ), כְּגוֹן: טוֹבֵעַ בַּנָּהָר, וְחַיָּה, אוֹ לִסְטִים בָּאִים עָלָיו</w:t>
      </w:r>
      <w:r w:rsidRPr="00BE35B0">
        <w:rPr>
          <w:rStyle w:val="text"/>
          <w:sz w:val="26"/>
          <w:szCs w:val="26"/>
        </w:rPr>
        <w:t>.</w:t>
      </w:r>
      <w:r w:rsidRPr="00BE35B0">
        <w:rPr>
          <w:sz w:val="26"/>
          <w:szCs w:val="26"/>
        </w:rPr>
        <w:t xml:space="preserve"> </w:t>
      </w:r>
    </w:p>
    <w:p w:rsidR="000D41F0" w:rsidRPr="00BE35B0" w:rsidRDefault="000D41F0" w:rsidP="000D41F0">
      <w:pPr>
        <w:pStyle w:val="NormalWeb"/>
        <w:bidi/>
        <w:spacing w:before="0" w:beforeAutospacing="0" w:after="0" w:afterAutospacing="0"/>
        <w:jc w:val="both"/>
        <w:rPr>
          <w:sz w:val="26"/>
          <w:szCs w:val="26"/>
        </w:rPr>
      </w:pPr>
      <w:r w:rsidRPr="00BE35B0">
        <w:rPr>
          <w:rStyle w:val="name"/>
          <w:sz w:val="26"/>
          <w:szCs w:val="26"/>
          <w:rtl/>
        </w:rPr>
        <w:t>אֲנִי ה</w:t>
      </w:r>
      <w:r w:rsidRPr="00BE35B0">
        <w:rPr>
          <w:rStyle w:val="name"/>
          <w:sz w:val="26"/>
          <w:szCs w:val="26"/>
        </w:rPr>
        <w:t>',</w:t>
      </w:r>
      <w:r w:rsidRPr="00BE35B0">
        <w:rPr>
          <w:sz w:val="26"/>
          <w:szCs w:val="26"/>
        </w:rPr>
        <w:t> </w:t>
      </w:r>
      <w:r w:rsidRPr="00BE35B0">
        <w:rPr>
          <w:rStyle w:val="text"/>
          <w:sz w:val="26"/>
          <w:szCs w:val="26"/>
          <w:rtl/>
        </w:rPr>
        <w:t>נֶאֱמָן לְשַׁלֵּם שָׂכָר, וְנֶאֱמָן לְהִפָּרַע</w:t>
      </w:r>
      <w:r w:rsidRPr="00BE35B0">
        <w:rPr>
          <w:rStyle w:val="text"/>
          <w:sz w:val="26"/>
          <w:szCs w:val="26"/>
        </w:rPr>
        <w:t>:</w:t>
      </w:r>
      <w:r w:rsidRPr="00BE35B0">
        <w:rPr>
          <w:sz w:val="26"/>
          <w:szCs w:val="26"/>
        </w:rPr>
        <w:t xml:space="preserve"> </w:t>
      </w:r>
    </w:p>
    <w:p w:rsidR="000D41F0" w:rsidRPr="000D41F0" w:rsidRDefault="000D41F0" w:rsidP="000D41F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0D41F0">
        <w:rPr>
          <w:rStyle w:val="name"/>
          <w:sz w:val="22"/>
          <w:szCs w:val="22"/>
        </w:rPr>
        <w:t>Tu n’iras pas colportant</w:t>
      </w:r>
      <w:r w:rsidRPr="000D41F0">
        <w:rPr>
          <w:sz w:val="22"/>
          <w:szCs w:val="22"/>
        </w:rPr>
        <w:t> </w:t>
      </w:r>
      <w:r w:rsidRPr="000D41F0">
        <w:rPr>
          <w:rStyle w:val="text"/>
          <w:sz w:val="22"/>
          <w:szCs w:val="22"/>
        </w:rPr>
        <w:t>À mon avis, c’est parce que ceux qui sèment la discorde et qui profèrent des paroles de médisance se rendent tous dans les maisons des autres pour épier ce qu’ils y voient ou ce qu’ils entendent de mauvais pour aller ensuite le raconter dans la rue, que l’on dit d’eux qu’ils « vont colportant » ou qu’ils « vont espionnant » – en français médiéval : « </w:t>
      </w:r>
      <w:proofErr w:type="spellStart"/>
      <w:r w:rsidRPr="000D41F0">
        <w:rPr>
          <w:rStyle w:val="text"/>
          <w:sz w:val="22"/>
          <w:szCs w:val="22"/>
        </w:rPr>
        <w:t>espiement</w:t>
      </w:r>
      <w:proofErr w:type="spellEnd"/>
      <w:r w:rsidRPr="000D41F0">
        <w:rPr>
          <w:rStyle w:val="text"/>
          <w:sz w:val="22"/>
          <w:szCs w:val="22"/>
        </w:rPr>
        <w:t> ». La preuve de ce que j’avance est que l’on ne trouve pas le terme de « colportage » sans qu’il soit associé au verbe « aller », comme dans : « tu n’“iras” pas colportant », ou : « ceux qui “vont” colportant comme le cuivre et le fer » (</w:t>
      </w:r>
      <w:proofErr w:type="spellStart"/>
      <w:r w:rsidRPr="000D41F0">
        <w:rPr>
          <w:rStyle w:val="text"/>
          <w:sz w:val="22"/>
          <w:szCs w:val="22"/>
        </w:rPr>
        <w:t>Yirmeya</w:t>
      </w:r>
      <w:proofErr w:type="spellEnd"/>
      <w:r w:rsidRPr="000D41F0">
        <w:rPr>
          <w:rStyle w:val="text"/>
          <w:sz w:val="22"/>
          <w:szCs w:val="22"/>
        </w:rPr>
        <w:t xml:space="preserve"> 6, 28). Tandis que les autres cas de médisance ne sont pas associés au verbe « aller » : « celui qui médit de son prochain en secret » (</w:t>
      </w:r>
      <w:proofErr w:type="spellStart"/>
      <w:r w:rsidRPr="000D41F0">
        <w:rPr>
          <w:rStyle w:val="text"/>
          <w:sz w:val="22"/>
          <w:szCs w:val="22"/>
        </w:rPr>
        <w:t>Tehilim</w:t>
      </w:r>
      <w:proofErr w:type="spellEnd"/>
      <w:r w:rsidRPr="000D41F0">
        <w:rPr>
          <w:rStyle w:val="text"/>
          <w:sz w:val="22"/>
          <w:szCs w:val="22"/>
        </w:rPr>
        <w:t> 101, 5), « </w:t>
      </w:r>
      <w:proofErr w:type="spellStart"/>
      <w:r w:rsidRPr="000D41F0">
        <w:rPr>
          <w:rStyle w:val="text"/>
          <w:sz w:val="22"/>
          <w:szCs w:val="22"/>
        </w:rPr>
        <w:t>Hachem</w:t>
      </w:r>
      <w:proofErr w:type="spellEnd"/>
      <w:r w:rsidRPr="000D41F0">
        <w:rPr>
          <w:rStyle w:val="text"/>
          <w:sz w:val="22"/>
          <w:szCs w:val="22"/>
        </w:rPr>
        <w:t xml:space="preserve"> m’a sauvé […] d’une langue perfide » (ibid. 120, 2), « la langue qui dit de grandes choses » (ibid. 12, 4). C’est pourquoi, à mon avis, cette expression signifie « aller et espionner », car la lettre </w:t>
      </w:r>
      <w:proofErr w:type="spellStart"/>
      <w:r w:rsidRPr="000D41F0">
        <w:rPr>
          <w:rStyle w:val="text"/>
          <w:sz w:val="22"/>
          <w:szCs w:val="22"/>
        </w:rPr>
        <w:t>kaf</w:t>
      </w:r>
      <w:proofErr w:type="spellEnd"/>
      <w:r w:rsidRPr="000D41F0">
        <w:rPr>
          <w:rStyle w:val="text"/>
          <w:sz w:val="22"/>
          <w:szCs w:val="22"/>
        </w:rPr>
        <w:t xml:space="preserve"> [de </w:t>
      </w:r>
      <w:proofErr w:type="spellStart"/>
      <w:r w:rsidRPr="000D41F0">
        <w:rPr>
          <w:rStyle w:val="text"/>
          <w:sz w:val="22"/>
          <w:szCs w:val="22"/>
        </w:rPr>
        <w:t>rakhil</w:t>
      </w:r>
      <w:proofErr w:type="spellEnd"/>
      <w:r w:rsidRPr="000D41F0">
        <w:rPr>
          <w:rStyle w:val="text"/>
          <w:sz w:val="22"/>
          <w:szCs w:val="22"/>
        </w:rPr>
        <w:t xml:space="preserve"> (« colportant »] est permutable avec le </w:t>
      </w:r>
      <w:proofErr w:type="spellStart"/>
      <w:r w:rsidRPr="000D41F0">
        <w:rPr>
          <w:rStyle w:val="text"/>
          <w:sz w:val="22"/>
          <w:szCs w:val="22"/>
        </w:rPr>
        <w:t>guimel</w:t>
      </w:r>
      <w:proofErr w:type="spellEnd"/>
      <w:r w:rsidRPr="000D41F0">
        <w:rPr>
          <w:rStyle w:val="text"/>
          <w:sz w:val="22"/>
          <w:szCs w:val="22"/>
        </w:rPr>
        <w:t xml:space="preserve"> [de </w:t>
      </w:r>
      <w:proofErr w:type="spellStart"/>
      <w:r w:rsidRPr="000D41F0">
        <w:rPr>
          <w:rStyle w:val="text"/>
          <w:sz w:val="22"/>
          <w:szCs w:val="22"/>
        </w:rPr>
        <w:t>raguél</w:t>
      </w:r>
      <w:proofErr w:type="spellEnd"/>
      <w:r w:rsidRPr="000D41F0">
        <w:rPr>
          <w:rStyle w:val="text"/>
          <w:sz w:val="22"/>
          <w:szCs w:val="22"/>
        </w:rPr>
        <w:t xml:space="preserve"> (« espionner »)]. En effet, toutes les lettres issues de la même origine phonétique sont permutables : le </w:t>
      </w:r>
      <w:proofErr w:type="spellStart"/>
      <w:r w:rsidRPr="000D41F0">
        <w:rPr>
          <w:rStyle w:val="text"/>
          <w:sz w:val="22"/>
          <w:szCs w:val="22"/>
        </w:rPr>
        <w:t>beith</w:t>
      </w:r>
      <w:proofErr w:type="spellEnd"/>
      <w:r w:rsidRPr="000D41F0">
        <w:rPr>
          <w:rStyle w:val="text"/>
          <w:sz w:val="22"/>
          <w:szCs w:val="22"/>
        </w:rPr>
        <w:t xml:space="preserve"> avec le </w:t>
      </w:r>
      <w:proofErr w:type="spellStart"/>
      <w:r w:rsidRPr="000D41F0">
        <w:rPr>
          <w:rStyle w:val="text"/>
          <w:sz w:val="22"/>
          <w:szCs w:val="22"/>
        </w:rPr>
        <w:t>pé</w:t>
      </w:r>
      <w:proofErr w:type="spellEnd"/>
      <w:r w:rsidRPr="000D41F0">
        <w:rPr>
          <w:rStyle w:val="text"/>
          <w:sz w:val="22"/>
          <w:szCs w:val="22"/>
        </w:rPr>
        <w:t xml:space="preserve">, le </w:t>
      </w:r>
      <w:proofErr w:type="spellStart"/>
      <w:r w:rsidRPr="000D41F0">
        <w:rPr>
          <w:rStyle w:val="text"/>
          <w:sz w:val="22"/>
          <w:szCs w:val="22"/>
        </w:rPr>
        <w:t>guimel</w:t>
      </w:r>
      <w:proofErr w:type="spellEnd"/>
      <w:r w:rsidRPr="000D41F0">
        <w:rPr>
          <w:rStyle w:val="text"/>
          <w:sz w:val="22"/>
          <w:szCs w:val="22"/>
        </w:rPr>
        <w:t xml:space="preserve"> avec le </w:t>
      </w:r>
      <w:proofErr w:type="spellStart"/>
      <w:r w:rsidRPr="000D41F0">
        <w:rPr>
          <w:rStyle w:val="text"/>
          <w:sz w:val="22"/>
          <w:szCs w:val="22"/>
        </w:rPr>
        <w:t>kaf</w:t>
      </w:r>
      <w:proofErr w:type="spellEnd"/>
      <w:r w:rsidRPr="000D41F0">
        <w:rPr>
          <w:rStyle w:val="text"/>
          <w:sz w:val="22"/>
          <w:szCs w:val="22"/>
        </w:rPr>
        <w:t xml:space="preserve">, le </w:t>
      </w:r>
      <w:proofErr w:type="spellStart"/>
      <w:r w:rsidRPr="000D41F0">
        <w:rPr>
          <w:rStyle w:val="text"/>
          <w:sz w:val="22"/>
          <w:szCs w:val="22"/>
        </w:rPr>
        <w:t>qof</w:t>
      </w:r>
      <w:proofErr w:type="spellEnd"/>
      <w:r w:rsidRPr="000D41F0">
        <w:rPr>
          <w:rStyle w:val="text"/>
          <w:sz w:val="22"/>
          <w:szCs w:val="22"/>
        </w:rPr>
        <w:t xml:space="preserve"> avec le </w:t>
      </w:r>
      <w:proofErr w:type="spellStart"/>
      <w:r w:rsidRPr="000D41F0">
        <w:rPr>
          <w:rStyle w:val="text"/>
          <w:sz w:val="22"/>
          <w:szCs w:val="22"/>
        </w:rPr>
        <w:t>kaf</w:t>
      </w:r>
      <w:proofErr w:type="spellEnd"/>
      <w:r w:rsidRPr="000D41F0">
        <w:rPr>
          <w:rStyle w:val="text"/>
          <w:sz w:val="22"/>
          <w:szCs w:val="22"/>
        </w:rPr>
        <w:t xml:space="preserve">, le </w:t>
      </w:r>
      <w:proofErr w:type="spellStart"/>
      <w:r w:rsidRPr="000D41F0">
        <w:rPr>
          <w:rStyle w:val="text"/>
          <w:sz w:val="22"/>
          <w:szCs w:val="22"/>
        </w:rPr>
        <w:t>noun</w:t>
      </w:r>
      <w:proofErr w:type="spellEnd"/>
      <w:r w:rsidRPr="000D41F0">
        <w:rPr>
          <w:rStyle w:val="text"/>
          <w:sz w:val="22"/>
          <w:szCs w:val="22"/>
        </w:rPr>
        <w:t xml:space="preserve"> avec le </w:t>
      </w:r>
      <w:proofErr w:type="spellStart"/>
      <w:r w:rsidRPr="000D41F0">
        <w:rPr>
          <w:rStyle w:val="text"/>
          <w:sz w:val="22"/>
          <w:szCs w:val="22"/>
        </w:rPr>
        <w:t>lamèd</w:t>
      </w:r>
      <w:proofErr w:type="spellEnd"/>
      <w:r w:rsidRPr="000D41F0">
        <w:rPr>
          <w:rStyle w:val="text"/>
          <w:sz w:val="22"/>
          <w:szCs w:val="22"/>
        </w:rPr>
        <w:t xml:space="preserve">, le </w:t>
      </w:r>
      <w:proofErr w:type="spellStart"/>
      <w:r w:rsidRPr="000D41F0">
        <w:rPr>
          <w:rStyle w:val="text"/>
          <w:sz w:val="22"/>
          <w:szCs w:val="22"/>
        </w:rPr>
        <w:t>zayin</w:t>
      </w:r>
      <w:proofErr w:type="spellEnd"/>
      <w:r w:rsidRPr="000D41F0">
        <w:rPr>
          <w:rStyle w:val="text"/>
          <w:sz w:val="22"/>
          <w:szCs w:val="22"/>
        </w:rPr>
        <w:t xml:space="preserve"> avec le </w:t>
      </w:r>
      <w:proofErr w:type="spellStart"/>
      <w:r w:rsidRPr="000D41F0">
        <w:rPr>
          <w:rStyle w:val="text"/>
          <w:sz w:val="22"/>
          <w:szCs w:val="22"/>
        </w:rPr>
        <w:t>tsadè</w:t>
      </w:r>
      <w:proofErr w:type="spellEnd"/>
      <w:r w:rsidRPr="000D41F0">
        <w:rPr>
          <w:rStyle w:val="text"/>
          <w:sz w:val="22"/>
          <w:szCs w:val="22"/>
        </w:rPr>
        <w:t>. De même : « Il a colporté (</w:t>
      </w:r>
      <w:proofErr w:type="spellStart"/>
      <w:r w:rsidRPr="000D41F0">
        <w:rPr>
          <w:rStyle w:val="text"/>
          <w:sz w:val="22"/>
          <w:szCs w:val="22"/>
        </w:rPr>
        <w:t>wayarguél</w:t>
      </w:r>
      <w:proofErr w:type="spellEnd"/>
      <w:r w:rsidRPr="000D41F0">
        <w:rPr>
          <w:rStyle w:val="text"/>
          <w:sz w:val="22"/>
          <w:szCs w:val="22"/>
        </w:rPr>
        <w:t xml:space="preserve">) sur le compte de ton serviteur » (II </w:t>
      </w:r>
      <w:proofErr w:type="spellStart"/>
      <w:r w:rsidRPr="000D41F0">
        <w:rPr>
          <w:rStyle w:val="text"/>
          <w:sz w:val="22"/>
          <w:szCs w:val="22"/>
        </w:rPr>
        <w:t>Chemouel</w:t>
      </w:r>
      <w:proofErr w:type="spellEnd"/>
      <w:r w:rsidRPr="000D41F0">
        <w:rPr>
          <w:rStyle w:val="text"/>
          <w:sz w:val="22"/>
          <w:szCs w:val="22"/>
        </w:rPr>
        <w:t xml:space="preserve"> 19, 28) pour dire du mal de moi. De même : « il n’y a pas de colportage (</w:t>
      </w:r>
      <w:proofErr w:type="spellStart"/>
      <w:r w:rsidRPr="000D41F0">
        <w:rPr>
          <w:rStyle w:val="text"/>
          <w:sz w:val="22"/>
          <w:szCs w:val="22"/>
        </w:rPr>
        <w:t>ragal</w:t>
      </w:r>
      <w:proofErr w:type="spellEnd"/>
      <w:r w:rsidRPr="000D41F0">
        <w:rPr>
          <w:rStyle w:val="text"/>
          <w:sz w:val="22"/>
          <w:szCs w:val="22"/>
        </w:rPr>
        <w:t>) sur sa langue » (</w:t>
      </w:r>
      <w:proofErr w:type="spellStart"/>
      <w:r w:rsidRPr="000D41F0">
        <w:rPr>
          <w:rStyle w:val="text"/>
          <w:sz w:val="22"/>
          <w:szCs w:val="22"/>
        </w:rPr>
        <w:t>Tehilim</w:t>
      </w:r>
      <w:proofErr w:type="spellEnd"/>
      <w:r w:rsidRPr="000D41F0">
        <w:rPr>
          <w:rStyle w:val="text"/>
          <w:sz w:val="22"/>
          <w:szCs w:val="22"/>
        </w:rPr>
        <w:t xml:space="preserve"> 15, 3). De même, le marchand ambulant, celui qui négocie toute marchandise et le vendeur de parfums destinés à la parure des femmes, du fait qu’ils circulent constamment dans les villes, portent l’appellation de « colporteur » (</w:t>
      </w:r>
      <w:proofErr w:type="spellStart"/>
      <w:r w:rsidRPr="000D41F0">
        <w:rPr>
          <w:rStyle w:val="text"/>
          <w:sz w:val="22"/>
          <w:szCs w:val="22"/>
        </w:rPr>
        <w:t>rokhel</w:t>
      </w:r>
      <w:proofErr w:type="spellEnd"/>
      <w:r w:rsidRPr="000D41F0">
        <w:rPr>
          <w:rStyle w:val="text"/>
          <w:sz w:val="22"/>
          <w:szCs w:val="22"/>
        </w:rPr>
        <w:t>), du verbe « aller à pied » (</w:t>
      </w:r>
      <w:proofErr w:type="spellStart"/>
      <w:r w:rsidRPr="000D41F0">
        <w:rPr>
          <w:rStyle w:val="text"/>
          <w:sz w:val="22"/>
          <w:szCs w:val="22"/>
        </w:rPr>
        <w:t>règuel</w:t>
      </w:r>
      <w:proofErr w:type="spellEnd"/>
      <w:r w:rsidRPr="000D41F0">
        <w:rPr>
          <w:rStyle w:val="text"/>
          <w:sz w:val="22"/>
          <w:szCs w:val="22"/>
        </w:rPr>
        <w:t xml:space="preserve">). Quant au </w:t>
      </w:r>
      <w:proofErr w:type="spellStart"/>
      <w:r w:rsidRPr="000D41F0">
        <w:rPr>
          <w:rStyle w:val="text"/>
          <w:sz w:val="22"/>
          <w:szCs w:val="22"/>
        </w:rPr>
        <w:t>Targoum</w:t>
      </w:r>
      <w:proofErr w:type="spellEnd"/>
      <w:r w:rsidRPr="000D41F0">
        <w:rPr>
          <w:rStyle w:val="text"/>
          <w:sz w:val="22"/>
          <w:szCs w:val="22"/>
        </w:rPr>
        <w:t xml:space="preserve"> </w:t>
      </w:r>
      <w:proofErr w:type="spellStart"/>
      <w:r w:rsidRPr="000D41F0">
        <w:rPr>
          <w:rStyle w:val="text"/>
          <w:sz w:val="22"/>
          <w:szCs w:val="22"/>
        </w:rPr>
        <w:t>Onqelos</w:t>
      </w:r>
      <w:proofErr w:type="spellEnd"/>
      <w:r w:rsidRPr="000D41F0">
        <w:rPr>
          <w:rStyle w:val="text"/>
          <w:sz w:val="22"/>
          <w:szCs w:val="22"/>
        </w:rPr>
        <w:t>, il rend « tu n’iras pas colportant » par : « tu ne mangeras pas de morceaux », comme dans : « ils ont mangé des morceaux contre (ce qui veut dire : “ils ont calomnié”) les Juifs » (Daniel 3, 8), ou dans : « il a mangé des morceaux (ce qui veut dire : “il a calomnié”) dans la maison du roi » (</w:t>
      </w:r>
      <w:proofErr w:type="spellStart"/>
      <w:r w:rsidRPr="000D41F0">
        <w:rPr>
          <w:rStyle w:val="text"/>
          <w:sz w:val="22"/>
          <w:szCs w:val="22"/>
        </w:rPr>
        <w:t>Berakhoth</w:t>
      </w:r>
      <w:proofErr w:type="spellEnd"/>
      <w:r w:rsidRPr="000D41F0">
        <w:rPr>
          <w:rStyle w:val="text"/>
          <w:sz w:val="22"/>
          <w:szCs w:val="22"/>
        </w:rPr>
        <w:t xml:space="preserve"> 58a). À mon avis, cette expression tient à ce qu’on avait coutume de prendre une collation dans la maison de celui qui accueillait ses paroles, en gage de sincérité et de vérité de ses propos, cette collation ayant pour nom : « manger le morceau », expression analogue au « clignement des yeux » (</w:t>
      </w:r>
      <w:proofErr w:type="spellStart"/>
      <w:r w:rsidRPr="000D41F0">
        <w:rPr>
          <w:rStyle w:val="text"/>
          <w:sz w:val="22"/>
          <w:szCs w:val="22"/>
        </w:rPr>
        <w:t>Michlei</w:t>
      </w:r>
      <w:proofErr w:type="spellEnd"/>
      <w:r w:rsidRPr="000D41F0">
        <w:rPr>
          <w:rStyle w:val="text"/>
          <w:sz w:val="22"/>
          <w:szCs w:val="22"/>
        </w:rPr>
        <w:t xml:space="preserve"> 6, 13) du dépravé. Car les colporteurs ont tous l’habitude de cligner des yeux et de ne suggérer leurs calomnies que sous forme d’allusions afin que les tierces personnes qui écoutent ne comprennent pas.</w:t>
      </w:r>
      <w:r w:rsidRPr="000D41F0">
        <w:rPr>
          <w:sz w:val="22"/>
          <w:szCs w:val="22"/>
        </w:rPr>
        <w:t xml:space="preserve"> </w:t>
      </w:r>
    </w:p>
    <w:p w:rsidR="000D41F0" w:rsidRPr="000D41F0" w:rsidRDefault="000D41F0" w:rsidP="000D41F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0D41F0">
        <w:rPr>
          <w:rStyle w:val="name"/>
          <w:sz w:val="22"/>
          <w:szCs w:val="22"/>
        </w:rPr>
        <w:t>Tu ne te tiendras pas sur le sang de ton prochain</w:t>
      </w:r>
      <w:r w:rsidRPr="000D41F0">
        <w:rPr>
          <w:sz w:val="22"/>
          <w:szCs w:val="22"/>
        </w:rPr>
        <w:t> </w:t>
      </w:r>
      <w:r w:rsidRPr="000D41F0">
        <w:rPr>
          <w:rStyle w:val="text"/>
          <w:sz w:val="22"/>
          <w:szCs w:val="22"/>
        </w:rPr>
        <w:t>En le regardant mourir, alors que tu peux le sauver, comme dans le cas d’un homme sur le point de se noyer dans une rivière ou qui est attaqué par des brigands.</w:t>
      </w:r>
      <w:r w:rsidRPr="000D41F0">
        <w:rPr>
          <w:sz w:val="22"/>
          <w:szCs w:val="22"/>
        </w:rPr>
        <w:t xml:space="preserve"> </w:t>
      </w:r>
    </w:p>
    <w:p w:rsidR="000D41F0" w:rsidRPr="000D41F0" w:rsidRDefault="000D41F0" w:rsidP="000D41F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0D41F0">
        <w:rPr>
          <w:rStyle w:val="name"/>
          <w:sz w:val="22"/>
          <w:szCs w:val="22"/>
        </w:rPr>
        <w:t xml:space="preserve">Je suis </w:t>
      </w:r>
      <w:proofErr w:type="spellStart"/>
      <w:r w:rsidRPr="000D41F0">
        <w:rPr>
          <w:rStyle w:val="name"/>
          <w:sz w:val="22"/>
          <w:szCs w:val="22"/>
        </w:rPr>
        <w:t>Hachem</w:t>
      </w:r>
      <w:proofErr w:type="spellEnd"/>
      <w:r w:rsidRPr="000D41F0">
        <w:rPr>
          <w:sz w:val="22"/>
          <w:szCs w:val="22"/>
        </w:rPr>
        <w:t> </w:t>
      </w:r>
      <w:r w:rsidRPr="000D41F0">
        <w:rPr>
          <w:rStyle w:val="text"/>
          <w:sz w:val="22"/>
          <w:szCs w:val="22"/>
        </w:rPr>
        <w:t>Digne de confiance quant à la rétribution et à la punition.</w:t>
      </w:r>
      <w:r w:rsidRPr="000D41F0">
        <w:rPr>
          <w:sz w:val="22"/>
          <w:szCs w:val="22"/>
        </w:rPr>
        <w:t xml:space="preserve"> </w:t>
      </w:r>
    </w:p>
    <w:p w:rsidR="000D41F0" w:rsidRPr="000D41F0" w:rsidRDefault="000D41F0" w:rsidP="000D41F0">
      <w:pPr>
        <w:pStyle w:val="NormalWeb"/>
        <w:bidi/>
        <w:spacing w:before="0" w:beforeAutospacing="0" w:after="0" w:afterAutospacing="0"/>
        <w:jc w:val="both"/>
        <w:rPr>
          <w:sz w:val="28"/>
          <w:szCs w:val="28"/>
        </w:rPr>
      </w:pPr>
      <w:r w:rsidRPr="000D41F0">
        <w:rPr>
          <w:rStyle w:val="name"/>
          <w:sz w:val="28"/>
          <w:szCs w:val="28"/>
          <w:rtl/>
        </w:rPr>
        <w:t>וְלֹא-תִשָּׂא עָלָיו חֵטְא</w:t>
      </w:r>
      <w:r w:rsidRPr="000D41F0">
        <w:rPr>
          <w:rStyle w:val="name"/>
          <w:sz w:val="28"/>
          <w:szCs w:val="28"/>
        </w:rPr>
        <w:t>,</w:t>
      </w:r>
      <w:r w:rsidRPr="000D41F0">
        <w:rPr>
          <w:sz w:val="28"/>
          <w:szCs w:val="28"/>
        </w:rPr>
        <w:t> </w:t>
      </w:r>
      <w:r w:rsidRPr="000D41F0">
        <w:rPr>
          <w:rStyle w:val="text"/>
          <w:sz w:val="28"/>
          <w:szCs w:val="28"/>
          <w:rtl/>
        </w:rPr>
        <w:t>לֹא תַּלְבִּין אֶת פָּנָיו בָּרַבִּים</w:t>
      </w:r>
      <w:r w:rsidRPr="000D41F0">
        <w:rPr>
          <w:rStyle w:val="text"/>
          <w:sz w:val="28"/>
          <w:szCs w:val="28"/>
        </w:rPr>
        <w:t>:</w:t>
      </w:r>
      <w:r w:rsidRPr="000D41F0">
        <w:rPr>
          <w:sz w:val="28"/>
          <w:szCs w:val="28"/>
        </w:rPr>
        <w:t xml:space="preserve"> </w:t>
      </w:r>
    </w:p>
    <w:p w:rsidR="000D41F0" w:rsidRPr="009D49F2" w:rsidRDefault="000D41F0" w:rsidP="000D41F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9D49F2">
        <w:rPr>
          <w:rStyle w:val="name"/>
          <w:sz w:val="22"/>
          <w:szCs w:val="22"/>
        </w:rPr>
        <w:t>Et tu ne porteras pas de péché sur lui</w:t>
      </w:r>
      <w:r w:rsidRPr="009D49F2">
        <w:rPr>
          <w:sz w:val="22"/>
          <w:szCs w:val="22"/>
        </w:rPr>
        <w:t> </w:t>
      </w:r>
      <w:r w:rsidRPr="009D49F2">
        <w:rPr>
          <w:rStyle w:val="text"/>
          <w:sz w:val="22"/>
          <w:szCs w:val="22"/>
        </w:rPr>
        <w:t>Tu ne le feras pas pâlir de honte en public (‘</w:t>
      </w:r>
      <w:proofErr w:type="spellStart"/>
      <w:r w:rsidRPr="009D49F2">
        <w:rPr>
          <w:rStyle w:val="text"/>
          <w:sz w:val="22"/>
          <w:szCs w:val="22"/>
        </w:rPr>
        <w:t>Arkhin</w:t>
      </w:r>
      <w:proofErr w:type="spellEnd"/>
      <w:r w:rsidRPr="009D49F2">
        <w:rPr>
          <w:rStyle w:val="text"/>
          <w:sz w:val="22"/>
          <w:szCs w:val="22"/>
        </w:rPr>
        <w:t xml:space="preserve"> 16b).</w:t>
      </w:r>
      <w:r w:rsidRPr="009D49F2">
        <w:rPr>
          <w:sz w:val="22"/>
          <w:szCs w:val="22"/>
        </w:rPr>
        <w:t xml:space="preserve"> </w:t>
      </w:r>
    </w:p>
    <w:p w:rsidR="000D41F0" w:rsidRPr="000D41F0" w:rsidRDefault="000D41F0" w:rsidP="000D41F0">
      <w:pPr>
        <w:pStyle w:val="NormalWeb"/>
        <w:bidi/>
        <w:spacing w:before="0" w:beforeAutospacing="0" w:after="0" w:afterAutospacing="0"/>
        <w:jc w:val="both"/>
        <w:rPr>
          <w:sz w:val="28"/>
          <w:szCs w:val="28"/>
        </w:rPr>
      </w:pPr>
      <w:r w:rsidRPr="000D41F0">
        <w:rPr>
          <w:rStyle w:val="name"/>
          <w:sz w:val="28"/>
          <w:szCs w:val="28"/>
          <w:rtl/>
        </w:rPr>
        <w:t>לֹא-תִקֹּם</w:t>
      </w:r>
      <w:r w:rsidRPr="000D41F0">
        <w:rPr>
          <w:rStyle w:val="name"/>
          <w:sz w:val="28"/>
          <w:szCs w:val="28"/>
        </w:rPr>
        <w:t>,</w:t>
      </w:r>
      <w:r w:rsidRPr="000D41F0">
        <w:rPr>
          <w:sz w:val="28"/>
          <w:szCs w:val="28"/>
        </w:rPr>
        <w:t> </w:t>
      </w:r>
      <w:r w:rsidRPr="000D41F0">
        <w:rPr>
          <w:rStyle w:val="text"/>
          <w:sz w:val="28"/>
          <w:szCs w:val="28"/>
          <w:rtl/>
        </w:rPr>
        <w:t>אָמַר לוֹ: הַשְׁאִילֵנִי מַגָּלְךָ! אָמַר לוֹ: לָאו. לְמָחָר אָמַר לוֹ</w:t>
      </w:r>
      <w:r w:rsidRPr="000D41F0">
        <w:rPr>
          <w:rStyle w:val="text"/>
          <w:sz w:val="28"/>
          <w:szCs w:val="28"/>
        </w:rPr>
        <w:t xml:space="preserve">: </w:t>
      </w:r>
      <w:r w:rsidRPr="000D41F0">
        <w:rPr>
          <w:rStyle w:val="text"/>
          <w:sz w:val="28"/>
          <w:szCs w:val="28"/>
          <w:rtl/>
        </w:rPr>
        <w:t>הַשְׁאִילֵנִי קַרְדֻּמְּךָ! אָמַר לוֹ: אֵינִי מַשְׁאִילְךָ כְּדֶרֶךְ שֶׁלֹּא הִשְׁאַלְתַּנִי _ זוֹ הִיא נְקִימָה. וְאֵיזוֹ הִיא נְטִירָה</w:t>
      </w:r>
      <w:r w:rsidRPr="000D41F0">
        <w:rPr>
          <w:rStyle w:val="text"/>
          <w:sz w:val="28"/>
          <w:szCs w:val="28"/>
        </w:rPr>
        <w:t xml:space="preserve">? </w:t>
      </w:r>
      <w:r w:rsidRPr="000D41F0">
        <w:rPr>
          <w:rStyle w:val="text"/>
          <w:sz w:val="28"/>
          <w:szCs w:val="28"/>
          <w:rtl/>
        </w:rPr>
        <w:t>אָמַר לוֹ: הַשְׁאִילֵנִי קַרְדֻּמְּךָ! אָמַר לוֹ: לָאו. לְמָחָר אָמַר לוֹ: הַשְׁאִילֵנִי מַגָּלְךָ! אָמַר לוֹ: הֵא לְךָ, וְאֵינִי כְּמוֹתְךָ</w:t>
      </w:r>
      <w:r w:rsidRPr="000D41F0">
        <w:rPr>
          <w:rStyle w:val="text"/>
          <w:sz w:val="28"/>
          <w:szCs w:val="28"/>
        </w:rPr>
        <w:t xml:space="preserve">, </w:t>
      </w:r>
      <w:r w:rsidRPr="000D41F0">
        <w:rPr>
          <w:rStyle w:val="text"/>
          <w:sz w:val="28"/>
          <w:szCs w:val="28"/>
          <w:rtl/>
        </w:rPr>
        <w:t>שֶׁלֹּא הִשְׁאַלְתַּנִי _ זוֹ הִיא נְטִירָה, שֶׁנּוֹטֵר הָאֵיבָה בְּלִבּוֹ, אַף-עַל-פִּי שֶׁאֵינוֹ נוֹקֵם</w:t>
      </w:r>
      <w:r w:rsidRPr="000D41F0">
        <w:rPr>
          <w:rStyle w:val="text"/>
          <w:sz w:val="28"/>
          <w:szCs w:val="28"/>
        </w:rPr>
        <w:t>.</w:t>
      </w:r>
      <w:r w:rsidRPr="000D41F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</w:t>
      </w:r>
      <w:r w:rsidRPr="000D41F0">
        <w:rPr>
          <w:rStyle w:val="name"/>
          <w:sz w:val="28"/>
          <w:szCs w:val="28"/>
          <w:rtl/>
        </w:rPr>
        <w:t>וְאָהַבְתָּ לְרֵעֲךָ כָּמוֹךָ</w:t>
      </w:r>
      <w:r w:rsidRPr="000D41F0">
        <w:rPr>
          <w:rStyle w:val="name"/>
          <w:sz w:val="28"/>
          <w:szCs w:val="28"/>
        </w:rPr>
        <w:t>,</w:t>
      </w:r>
      <w:r w:rsidRPr="000D41F0">
        <w:rPr>
          <w:sz w:val="28"/>
          <w:szCs w:val="28"/>
        </w:rPr>
        <w:t> </w:t>
      </w:r>
      <w:r w:rsidRPr="000D41F0">
        <w:rPr>
          <w:rStyle w:val="text"/>
          <w:sz w:val="28"/>
          <w:szCs w:val="28"/>
        </w:rPr>
        <w:t>(</w:t>
      </w:r>
      <w:r w:rsidRPr="000D41F0">
        <w:rPr>
          <w:rStyle w:val="text"/>
          <w:sz w:val="28"/>
          <w:szCs w:val="28"/>
          <w:rtl/>
        </w:rPr>
        <w:t>ת»כ) אָמַר רַבִּי עֲקִיבָא: זֶה כְּלָל גָּדוֹל בַּתּוֹרָה</w:t>
      </w:r>
      <w:r w:rsidRPr="000D41F0">
        <w:rPr>
          <w:rStyle w:val="text"/>
          <w:sz w:val="28"/>
          <w:szCs w:val="28"/>
        </w:rPr>
        <w:t>:</w:t>
      </w:r>
      <w:r w:rsidRPr="000D41F0">
        <w:rPr>
          <w:sz w:val="28"/>
          <w:szCs w:val="28"/>
        </w:rPr>
        <w:t xml:space="preserve"> </w:t>
      </w:r>
    </w:p>
    <w:p w:rsidR="000D41F0" w:rsidRPr="000D41F0" w:rsidRDefault="000D41F0" w:rsidP="000D41F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0D41F0">
        <w:rPr>
          <w:rStyle w:val="name"/>
          <w:sz w:val="22"/>
          <w:szCs w:val="22"/>
        </w:rPr>
        <w:t>Tu ne te vengeras pas</w:t>
      </w:r>
      <w:r w:rsidRPr="000D41F0">
        <w:rPr>
          <w:sz w:val="22"/>
          <w:szCs w:val="22"/>
        </w:rPr>
        <w:t> </w:t>
      </w:r>
      <w:r w:rsidRPr="000D41F0">
        <w:rPr>
          <w:rStyle w:val="text"/>
          <w:sz w:val="22"/>
          <w:szCs w:val="22"/>
        </w:rPr>
        <w:t xml:space="preserve">On lui demande de lui prêter sa faucille, et il refuse. Le lendemain, l’auteur du refus lui demande de lui prêter sa hache. « Je ne te la prêterai pas, répond-il, tout comme toi-même m’as refusé un prêt ! » C’est là de la vengeance. Et qu’est-ce </w:t>
      </w:r>
      <w:bookmarkStart w:id="0" w:name="_GoBack"/>
      <w:bookmarkEnd w:id="0"/>
      <w:r w:rsidRPr="000D41F0">
        <w:rPr>
          <w:rStyle w:val="text"/>
          <w:sz w:val="22"/>
          <w:szCs w:val="22"/>
        </w:rPr>
        <w:t>que la rancune ? On lui demande de lui prêter sa hache, et il refuse. Le lendemain, l’auteur du refus lui demande de lui prêter sa faucille. « La voici, répond-il. Je ne suis pas comme toi qui ne m’as pas prêté ! » C’est là de la rancune : on conserve de la haine dans son cœur nonobstant l’absence de vengeance (</w:t>
      </w:r>
      <w:proofErr w:type="spellStart"/>
      <w:r w:rsidRPr="000D41F0">
        <w:rPr>
          <w:rStyle w:val="text"/>
          <w:sz w:val="22"/>
          <w:szCs w:val="22"/>
        </w:rPr>
        <w:t>Yoma</w:t>
      </w:r>
      <w:proofErr w:type="spellEnd"/>
      <w:r w:rsidRPr="000D41F0">
        <w:rPr>
          <w:rStyle w:val="text"/>
          <w:sz w:val="22"/>
          <w:szCs w:val="22"/>
        </w:rPr>
        <w:t xml:space="preserve"> 23a).</w:t>
      </w:r>
      <w:r w:rsidRPr="000D41F0">
        <w:rPr>
          <w:sz w:val="22"/>
          <w:szCs w:val="22"/>
        </w:rPr>
        <w:t xml:space="preserve"> </w:t>
      </w:r>
    </w:p>
    <w:p w:rsidR="000D41F0" w:rsidRDefault="000D41F0" w:rsidP="00BE35B0">
      <w:pPr>
        <w:pStyle w:val="NormalWeb"/>
        <w:spacing w:before="0" w:beforeAutospacing="0" w:after="0" w:afterAutospacing="0"/>
        <w:jc w:val="both"/>
      </w:pPr>
      <w:r w:rsidRPr="000D41F0">
        <w:rPr>
          <w:rStyle w:val="name"/>
          <w:sz w:val="22"/>
          <w:szCs w:val="22"/>
        </w:rPr>
        <w:t>Tu aimeras ton prochain comme toi-même</w:t>
      </w:r>
      <w:r w:rsidRPr="000D41F0">
        <w:rPr>
          <w:sz w:val="22"/>
          <w:szCs w:val="22"/>
        </w:rPr>
        <w:t> </w:t>
      </w:r>
      <w:r w:rsidRPr="000D41F0">
        <w:rPr>
          <w:rStyle w:val="text"/>
          <w:sz w:val="22"/>
          <w:szCs w:val="22"/>
        </w:rPr>
        <w:t>Rabi ‘</w:t>
      </w:r>
      <w:proofErr w:type="spellStart"/>
      <w:r w:rsidRPr="000D41F0">
        <w:rPr>
          <w:rStyle w:val="text"/>
          <w:sz w:val="22"/>
          <w:szCs w:val="22"/>
        </w:rPr>
        <w:t>Aqiva</w:t>
      </w:r>
      <w:proofErr w:type="spellEnd"/>
      <w:r w:rsidRPr="000D41F0">
        <w:rPr>
          <w:rStyle w:val="text"/>
          <w:sz w:val="22"/>
          <w:szCs w:val="22"/>
        </w:rPr>
        <w:t xml:space="preserve"> a enseigné : C’est là un principe fondamental dans la Tora (</w:t>
      </w:r>
      <w:proofErr w:type="spellStart"/>
      <w:r w:rsidRPr="000D41F0">
        <w:rPr>
          <w:rStyle w:val="text"/>
          <w:sz w:val="22"/>
          <w:szCs w:val="22"/>
        </w:rPr>
        <w:t>Torath</w:t>
      </w:r>
      <w:proofErr w:type="spellEnd"/>
      <w:r w:rsidRPr="000D41F0">
        <w:rPr>
          <w:rStyle w:val="text"/>
          <w:sz w:val="22"/>
          <w:szCs w:val="22"/>
        </w:rPr>
        <w:t xml:space="preserve"> </w:t>
      </w:r>
      <w:proofErr w:type="spellStart"/>
      <w:r w:rsidRPr="000D41F0">
        <w:rPr>
          <w:rStyle w:val="text"/>
          <w:sz w:val="22"/>
          <w:szCs w:val="22"/>
        </w:rPr>
        <w:t>kohanim</w:t>
      </w:r>
      <w:proofErr w:type="spellEnd"/>
      <w:r w:rsidRPr="000D41F0">
        <w:rPr>
          <w:rStyle w:val="text"/>
          <w:sz w:val="22"/>
          <w:szCs w:val="22"/>
        </w:rPr>
        <w:t>).</w:t>
      </w:r>
      <w:r w:rsidRPr="000D41F0">
        <w:rPr>
          <w:sz w:val="22"/>
          <w:szCs w:val="22"/>
        </w:rPr>
        <w:t xml:space="preserve"> </w:t>
      </w:r>
      <w:r>
        <w:tab/>
      </w:r>
    </w:p>
    <w:p w:rsidR="00E024D5" w:rsidRDefault="00E024D5" w:rsidP="000D41F0">
      <w:pPr>
        <w:pStyle w:val="NormalWeb"/>
        <w:spacing w:before="0" w:beforeAutospacing="0" w:after="0" w:afterAutospacing="0"/>
        <w:jc w:val="both"/>
      </w:pPr>
    </w:p>
    <w:sectPr w:rsidR="00E024D5" w:rsidSect="00F125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589"/>
    <w:rsid w:val="000D41F0"/>
    <w:rsid w:val="001865BC"/>
    <w:rsid w:val="001D439C"/>
    <w:rsid w:val="002D348F"/>
    <w:rsid w:val="00340285"/>
    <w:rsid w:val="00356281"/>
    <w:rsid w:val="00374608"/>
    <w:rsid w:val="003A39AA"/>
    <w:rsid w:val="003B6318"/>
    <w:rsid w:val="00482BA7"/>
    <w:rsid w:val="009532AA"/>
    <w:rsid w:val="009A1DCB"/>
    <w:rsid w:val="009A677C"/>
    <w:rsid w:val="009D49F2"/>
    <w:rsid w:val="00A20AEB"/>
    <w:rsid w:val="00A6195A"/>
    <w:rsid w:val="00A64EEF"/>
    <w:rsid w:val="00B04C49"/>
    <w:rsid w:val="00BE35B0"/>
    <w:rsid w:val="00C3782C"/>
    <w:rsid w:val="00C37A45"/>
    <w:rsid w:val="00CB15DA"/>
    <w:rsid w:val="00D76617"/>
    <w:rsid w:val="00DE51F7"/>
    <w:rsid w:val="00E024D5"/>
    <w:rsid w:val="00EE5794"/>
    <w:rsid w:val="00F12589"/>
    <w:rsid w:val="00FB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1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name">
    <w:name w:val="name"/>
    <w:basedOn w:val="Policepardfaut"/>
    <w:rsid w:val="00F12589"/>
  </w:style>
  <w:style w:type="character" w:customStyle="1" w:styleId="text">
    <w:name w:val="text"/>
    <w:basedOn w:val="Policepardfaut"/>
    <w:rsid w:val="00F12589"/>
  </w:style>
  <w:style w:type="character" w:customStyle="1" w:styleId="ijaxflowpanellinkedpanelrow">
    <w:name w:val="ijax_flowpanel_linkedpanel_row"/>
    <w:basedOn w:val="Policepardfaut"/>
    <w:rsid w:val="00482B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1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name">
    <w:name w:val="name"/>
    <w:basedOn w:val="Policepardfaut"/>
    <w:rsid w:val="00F12589"/>
  </w:style>
  <w:style w:type="character" w:customStyle="1" w:styleId="text">
    <w:name w:val="text"/>
    <w:basedOn w:val="Policepardfaut"/>
    <w:rsid w:val="00F12589"/>
  </w:style>
  <w:style w:type="character" w:customStyle="1" w:styleId="ijaxflowpanellinkedpanelrow">
    <w:name w:val="ijax_flowpanel_linkedpanel_row"/>
    <w:basedOn w:val="Policepardfaut"/>
    <w:rsid w:val="00482B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6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1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0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979</Words>
  <Characters>5388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6</cp:revision>
  <dcterms:created xsi:type="dcterms:W3CDTF">2015-08-16T20:12:00Z</dcterms:created>
  <dcterms:modified xsi:type="dcterms:W3CDTF">2015-08-16T20:24:00Z</dcterms:modified>
</cp:coreProperties>
</file>