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395" w:rsidRPr="008C734D" w:rsidRDefault="003F5395" w:rsidP="003E29A7">
      <w:pPr>
        <w:spacing w:after="0" w:line="240" w:lineRule="auto"/>
        <w:jc w:val="center"/>
        <w:rPr>
          <w:rStyle w:val="lev"/>
          <w:sz w:val="2"/>
          <w:szCs w:val="2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 xml:space="preserve">Rachi sur </w:t>
      </w:r>
      <w:proofErr w:type="spellStart"/>
      <w:r w:rsidR="003E29A7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>BéahalotéHa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 xml:space="preserve"> – </w:t>
      </w:r>
      <w:r w:rsidR="003E29A7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>Qu’est-ce que la Posture de Transmission ?</w:t>
      </w:r>
      <w:bookmarkStart w:id="0" w:name="_GoBack"/>
      <w:bookmarkEnd w:id="0"/>
    </w:p>
    <w:tbl>
      <w:tblPr>
        <w:tblStyle w:val="Grilledutableau"/>
        <w:tblpPr w:leftFromText="141" w:rightFromText="141" w:tblpY="510"/>
        <w:tblW w:w="11023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153"/>
        <w:gridCol w:w="4870"/>
      </w:tblGrid>
      <w:tr w:rsidR="003F5395" w:rsidTr="003E29A7">
        <w:trPr>
          <w:trHeight w:val="14368"/>
        </w:trPr>
        <w:tc>
          <w:tcPr>
            <w:tcW w:w="6153" w:type="dxa"/>
          </w:tcPr>
          <w:p w:rsidR="003E29A7" w:rsidRDefault="003E29A7" w:rsidP="003E29A7">
            <w:pPr>
              <w:pStyle w:val="NormalWeb"/>
              <w:spacing w:before="0" w:beforeAutospacing="0" w:after="0" w:afterAutospacing="0"/>
              <w:rPr>
                <w:rStyle w:val="name"/>
              </w:rPr>
            </w:pPr>
            <w:r>
              <w:rPr>
                <w:rStyle w:val="name"/>
              </w:rPr>
              <w:t>Nb 8 :2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Quand tu feras monter</w:t>
            </w:r>
            <w:r>
              <w:t> </w:t>
            </w:r>
            <w:r>
              <w:rPr>
                <w:rStyle w:val="text"/>
              </w:rPr>
              <w:t xml:space="preserve">Pourquoi le chapitre relatif à la menora fait-il immédiatement suite à celui relatif aux princes ? Parce que </w:t>
            </w:r>
            <w:proofErr w:type="spellStart"/>
            <w:r>
              <w:rPr>
                <w:rStyle w:val="text"/>
              </w:rPr>
              <w:t>Aharon</w:t>
            </w:r>
            <w:proofErr w:type="spellEnd"/>
            <w:r>
              <w:rPr>
                <w:rStyle w:val="text"/>
              </w:rPr>
              <w:t>, lorsqu’il a assisté à l’inauguration par les princes, s’est affligé de ne pas avoir été avec eux, ni lui ni sa tribu. Le Saint béni soit-Il lui a alors déclaré : « Par ta vie ! Ta part est plus grande que la leur ! Car c’est toi qui allumeras et entretiendras les lumières » (</w:t>
            </w:r>
            <w:proofErr w:type="spellStart"/>
            <w:r>
              <w:rPr>
                <w:rStyle w:val="text"/>
              </w:rPr>
              <w:t>Midrach</w:t>
            </w:r>
            <w:proofErr w:type="spellEnd"/>
            <w:r>
              <w:rPr>
                <w:rStyle w:val="text"/>
              </w:rPr>
              <w:t xml:space="preserve"> </w:t>
            </w:r>
            <w:proofErr w:type="spellStart"/>
            <w:r>
              <w:rPr>
                <w:rStyle w:val="text"/>
              </w:rPr>
              <w:t>Tan‘houma</w:t>
            </w:r>
            <w:proofErr w:type="spellEnd"/>
            <w:r>
              <w:rPr>
                <w:rStyle w:val="text"/>
              </w:rPr>
              <w:t>).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Quand tu feras monter</w:t>
            </w:r>
            <w:r>
              <w:t> </w:t>
            </w:r>
            <w:r>
              <w:rPr>
                <w:rStyle w:val="text"/>
              </w:rPr>
              <w:t xml:space="preserve">Étant donné que la flamme s’élève, le texte emploie pour leur allumage le mot « monter ». L’allumage doit se poursuivre jusqu’à ce que la flamme s’élève d’elle-même. Et nos maîtres ont également déduit de ce verset que devant la menora se trouvait un marchepied sur lequel se tenait le </w:t>
            </w:r>
            <w:proofErr w:type="spellStart"/>
            <w:r>
              <w:rPr>
                <w:rStyle w:val="text"/>
              </w:rPr>
              <w:t>kohen</w:t>
            </w:r>
            <w:proofErr w:type="spellEnd"/>
            <w:r>
              <w:rPr>
                <w:rStyle w:val="text"/>
              </w:rPr>
              <w:t xml:space="preserve"> pour l’arranger (</w:t>
            </w:r>
            <w:proofErr w:type="spellStart"/>
            <w:r>
              <w:rPr>
                <w:rStyle w:val="text"/>
              </w:rPr>
              <w:t>Sifri</w:t>
            </w:r>
            <w:proofErr w:type="spellEnd"/>
            <w:r>
              <w:rPr>
                <w:rStyle w:val="text"/>
              </w:rPr>
              <w:t>).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Vers le vis-à-vis de la face de la menora</w:t>
            </w:r>
            <w:r>
              <w:t> </w:t>
            </w:r>
            <w:r>
              <w:rPr>
                <w:rStyle w:val="text"/>
              </w:rPr>
              <w:t>Dirigées vers la flamme centrale, laquelle ne se trouvait pas sur les branches mais sur le corps même de la menora.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Éclaireront les sept lampes</w:t>
            </w:r>
            <w:r>
              <w:t> </w:t>
            </w:r>
            <w:r>
              <w:rPr>
                <w:rStyle w:val="text"/>
              </w:rPr>
              <w:t>À raison de six sur les branches, trois à l’est dont les mèches étaient dirigées vers la flamme centrale, et de même les trois à l’ouest dont les mèches étaient dirigées vers la flamme centrale. Pourquoi ? Pour que l’on ne dise pas qu’Il a besoin de sa lumière (</w:t>
            </w:r>
            <w:proofErr w:type="spellStart"/>
            <w:r>
              <w:rPr>
                <w:rStyle w:val="text"/>
              </w:rPr>
              <w:t>Sifri</w:t>
            </w:r>
            <w:proofErr w:type="spellEnd"/>
            <w:r>
              <w:rPr>
                <w:rStyle w:val="text"/>
              </w:rPr>
              <w:t>).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</w:p>
          <w:p w:rsidR="003F5395" w:rsidRDefault="003E29A7" w:rsidP="003E29A7">
            <w:pPr>
              <w:rPr>
                <w:rStyle w:val="lev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 w:bidi="he-IL"/>
              </w:rPr>
            </w:pPr>
            <w:r>
              <w:rPr>
                <w:rStyle w:val="lev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 w:bidi="he-IL"/>
              </w:rPr>
              <w:t>Nb 8 :3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 xml:space="preserve">Ainsi fit </w:t>
            </w:r>
            <w:proofErr w:type="spellStart"/>
            <w:r>
              <w:rPr>
                <w:rStyle w:val="name"/>
              </w:rPr>
              <w:t>Aharon</w:t>
            </w:r>
            <w:proofErr w:type="spellEnd"/>
            <w:r>
              <w:t> </w:t>
            </w:r>
            <w:r>
              <w:rPr>
                <w:rStyle w:val="text"/>
              </w:rPr>
              <w:t xml:space="preserve">Cela à l’éloge </w:t>
            </w:r>
            <w:proofErr w:type="gramStart"/>
            <w:r>
              <w:rPr>
                <w:rStyle w:val="text"/>
              </w:rPr>
              <w:t xml:space="preserve">de </w:t>
            </w:r>
            <w:proofErr w:type="spellStart"/>
            <w:r>
              <w:rPr>
                <w:rStyle w:val="text"/>
              </w:rPr>
              <w:t>Aharon</w:t>
            </w:r>
            <w:proofErr w:type="spellEnd"/>
            <w:proofErr w:type="gramEnd"/>
            <w:r>
              <w:rPr>
                <w:rStyle w:val="text"/>
              </w:rPr>
              <w:t xml:space="preserve"> qui n’a rien changé [à l’ordre reçu] (</w:t>
            </w:r>
            <w:proofErr w:type="spellStart"/>
            <w:r>
              <w:rPr>
                <w:rStyle w:val="text"/>
              </w:rPr>
              <w:t>Sifri</w:t>
            </w:r>
            <w:proofErr w:type="spellEnd"/>
            <w:r>
              <w:rPr>
                <w:rStyle w:val="text"/>
              </w:rPr>
              <w:t>).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</w:p>
          <w:p w:rsidR="003E29A7" w:rsidRDefault="003E29A7" w:rsidP="003E29A7">
            <w:pPr>
              <w:rPr>
                <w:rStyle w:val="lev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 w:bidi="he-IL"/>
              </w:rPr>
            </w:pPr>
            <w:r>
              <w:rPr>
                <w:rStyle w:val="lev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 w:bidi="he-IL"/>
              </w:rPr>
              <w:t>Nb 8 :4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Et ceci est la confection de la menora</w:t>
            </w:r>
            <w:r>
              <w:t> </w:t>
            </w:r>
            <w:r>
              <w:rPr>
                <w:rStyle w:val="text"/>
              </w:rPr>
              <w:t>Comme si le Saint béni soit-Il la lui avait montrée du doigt. La tâche étant difficile, Il lui a dit : « Et voici… ».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Battue</w:t>
            </w:r>
            <w:r>
              <w:t> </w:t>
            </w:r>
            <w:r>
              <w:rPr>
                <w:rStyle w:val="text"/>
              </w:rPr>
              <w:t>En français médiéval : « </w:t>
            </w:r>
            <w:proofErr w:type="spellStart"/>
            <w:r>
              <w:rPr>
                <w:rStyle w:val="text"/>
              </w:rPr>
              <w:t>batediz</w:t>
            </w:r>
            <w:proofErr w:type="spellEnd"/>
            <w:r>
              <w:rPr>
                <w:rStyle w:val="text"/>
              </w:rPr>
              <w:t xml:space="preserve"> », comme dans : « Ils battaient (</w:t>
            </w:r>
            <w:proofErr w:type="spellStart"/>
            <w:r>
              <w:rPr>
                <w:rStyle w:val="text"/>
              </w:rPr>
              <w:t>naqchan</w:t>
            </w:r>
            <w:proofErr w:type="spellEnd"/>
            <w:r>
              <w:rPr>
                <w:rStyle w:val="text"/>
              </w:rPr>
              <w:t xml:space="preserve">) l’un contre l’autre » (Daniel 5, 6). Elle était faite d’un </w:t>
            </w:r>
            <w:proofErr w:type="spellStart"/>
            <w:r>
              <w:rPr>
                <w:rStyle w:val="text"/>
              </w:rPr>
              <w:t>kikar</w:t>
            </w:r>
            <w:proofErr w:type="spellEnd"/>
            <w:r>
              <w:rPr>
                <w:rStyle w:val="text"/>
              </w:rPr>
              <w:t xml:space="preserve"> d’or frappé au marteau et coupé au ciseau pour en aplatir les pièces à volonté, et sans que l’on y assemble des pièces détachées.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Jusqu’à son pied, jusqu’à sa fleur</w:t>
            </w:r>
            <w:r>
              <w:t> </w:t>
            </w:r>
            <w:r>
              <w:rPr>
                <w:rStyle w:val="text"/>
              </w:rPr>
              <w:t>Le pied est constitué par la base creuse, comme dans les chandeliers d’argent employés par les nobles.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Jusqu’à son pied, jusqu’à sa fleur</w:t>
            </w:r>
            <w:r>
              <w:t> </w:t>
            </w:r>
            <w:r>
              <w:rPr>
                <w:rStyle w:val="text"/>
              </w:rPr>
              <w:t>C’est-à-dire la totalité de la menora et tout ce qui y était attaché.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Jusqu’à son pied</w:t>
            </w:r>
            <w:r>
              <w:t> </w:t>
            </w:r>
            <w:r>
              <w:rPr>
                <w:rStyle w:val="text"/>
              </w:rPr>
              <w:t>Qui forme une grande pièce.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>Jusqu’à (‘ad) sa fleur</w:t>
            </w:r>
            <w:r>
              <w:t> </w:t>
            </w:r>
            <w:r>
              <w:rPr>
                <w:rStyle w:val="text"/>
              </w:rPr>
              <w:t>Qui est un travail de grande finesse, le tout formant un seul bloc. La préposition ‘ad (« jusqu’à ») s’emploie ainsi, comme dans : « depuis les gerbes jusqu’au (</w:t>
            </w:r>
            <w:proofErr w:type="spellStart"/>
            <w:r>
              <w:rPr>
                <w:rStyle w:val="text"/>
              </w:rPr>
              <w:t>we‘ad</w:t>
            </w:r>
            <w:proofErr w:type="spellEnd"/>
            <w:r>
              <w:rPr>
                <w:rStyle w:val="text"/>
              </w:rPr>
              <w:t>) blé, et jusqu’aux (</w:t>
            </w:r>
            <w:proofErr w:type="spellStart"/>
            <w:r>
              <w:rPr>
                <w:rStyle w:val="text"/>
              </w:rPr>
              <w:t>we‘ad</w:t>
            </w:r>
            <w:proofErr w:type="spellEnd"/>
            <w:r>
              <w:rPr>
                <w:rStyle w:val="text"/>
              </w:rPr>
              <w:t>) oliveraies » (</w:t>
            </w:r>
            <w:proofErr w:type="spellStart"/>
            <w:r>
              <w:rPr>
                <w:rStyle w:val="text"/>
              </w:rPr>
              <w:t>Choftim</w:t>
            </w:r>
            <w:proofErr w:type="spellEnd"/>
            <w:r>
              <w:rPr>
                <w:rStyle w:val="text"/>
              </w:rPr>
              <w:t xml:space="preserve"> 15, 5).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 xml:space="preserve">Comme ce qui a été montré que </w:t>
            </w:r>
            <w:proofErr w:type="spellStart"/>
            <w:r>
              <w:rPr>
                <w:rStyle w:val="name"/>
              </w:rPr>
              <w:t>Hachem</w:t>
            </w:r>
            <w:proofErr w:type="spellEnd"/>
            <w:r>
              <w:rPr>
                <w:rStyle w:val="name"/>
              </w:rPr>
              <w:t xml:space="preserve"> a montré</w:t>
            </w:r>
            <w:r>
              <w:t> </w:t>
            </w:r>
            <w:r>
              <w:rPr>
                <w:rStyle w:val="text"/>
              </w:rPr>
              <w:t>Comme le plan qu’Il lui avait montré sur la montagne (</w:t>
            </w:r>
            <w:proofErr w:type="spellStart"/>
            <w:r>
              <w:rPr>
                <w:rStyle w:val="text"/>
              </w:rPr>
              <w:t>Sifri</w:t>
            </w:r>
            <w:proofErr w:type="spellEnd"/>
            <w:r>
              <w:rPr>
                <w:rStyle w:val="text"/>
              </w:rPr>
              <w:t>), comme il est écrit : « Et vois et fais, selon leur plan qu’on t’a montré dans la montagne » (</w:t>
            </w:r>
            <w:proofErr w:type="spellStart"/>
            <w:r>
              <w:rPr>
                <w:rStyle w:val="text"/>
              </w:rPr>
              <w:t>Chemoth</w:t>
            </w:r>
            <w:proofErr w:type="spellEnd"/>
            <w:r>
              <w:rPr>
                <w:rStyle w:val="text"/>
              </w:rPr>
              <w:t> 25, 40).</w:t>
            </w:r>
            <w:r>
              <w:t xml:space="preserve"> </w:t>
            </w:r>
          </w:p>
          <w:p w:rsidR="003E29A7" w:rsidRDefault="003E29A7" w:rsidP="003E29A7">
            <w:pPr>
              <w:pStyle w:val="NormalWeb"/>
              <w:spacing w:before="0" w:beforeAutospacing="0" w:after="0" w:afterAutospacing="0"/>
            </w:pPr>
            <w:r>
              <w:rPr>
                <w:rStyle w:val="name"/>
              </w:rPr>
              <w:t xml:space="preserve">Ainsi </w:t>
            </w:r>
            <w:proofErr w:type="spellStart"/>
            <w:r>
              <w:rPr>
                <w:rStyle w:val="name"/>
              </w:rPr>
              <w:t>fit-il</w:t>
            </w:r>
            <w:proofErr w:type="spellEnd"/>
            <w:r>
              <w:rPr>
                <w:rStyle w:val="name"/>
              </w:rPr>
              <w:t xml:space="preserve"> la menora</w:t>
            </w:r>
            <w:r>
              <w:t> </w:t>
            </w:r>
            <w:r>
              <w:rPr>
                <w:rStyle w:val="text"/>
              </w:rPr>
              <w:t xml:space="preserve">Celui qui l’a fabriquée. Selon le </w:t>
            </w:r>
            <w:proofErr w:type="spellStart"/>
            <w:r>
              <w:rPr>
                <w:rStyle w:val="text"/>
              </w:rPr>
              <w:t>midrach</w:t>
            </w:r>
            <w:proofErr w:type="spellEnd"/>
            <w:r>
              <w:rPr>
                <w:rStyle w:val="text"/>
              </w:rPr>
              <w:t>, elle s’est faite automatiquement par l’intervention du Saint béni soit-Il (</w:t>
            </w:r>
            <w:proofErr w:type="spellStart"/>
            <w:r>
              <w:rPr>
                <w:rStyle w:val="text"/>
              </w:rPr>
              <w:t>Midrach</w:t>
            </w:r>
            <w:proofErr w:type="spellEnd"/>
            <w:r>
              <w:rPr>
                <w:rStyle w:val="text"/>
              </w:rPr>
              <w:t xml:space="preserve"> </w:t>
            </w:r>
            <w:proofErr w:type="spellStart"/>
            <w:r>
              <w:rPr>
                <w:rStyle w:val="text"/>
              </w:rPr>
              <w:t>Tan‘houma</w:t>
            </w:r>
            <w:proofErr w:type="spellEnd"/>
            <w:r>
              <w:rPr>
                <w:rStyle w:val="text"/>
              </w:rPr>
              <w:t>).</w:t>
            </w:r>
            <w:r>
              <w:t xml:space="preserve"> </w:t>
            </w:r>
          </w:p>
          <w:p w:rsidR="003E29A7" w:rsidRPr="001D6865" w:rsidRDefault="003E29A7" w:rsidP="00D903CF">
            <w:pPr>
              <w:spacing w:after="100" w:afterAutospacing="1"/>
              <w:rPr>
                <w:rStyle w:val="lev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 w:bidi="he-IL"/>
              </w:rPr>
            </w:pPr>
          </w:p>
        </w:tc>
        <w:tc>
          <w:tcPr>
            <w:tcW w:w="4870" w:type="dxa"/>
          </w:tcPr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בְּהַעֲלֹתְךָ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לָמָּה נִסְמְכָה פָּרָשַׁת הַמְּנוֹרָה לְפָרָשַׁת הַנְּשִׂיאִים? לְפִי שֶׁכְּשָׁרָאה אַהֲרֹן חֲנֻכַּת הַנְּשִׂיאִים חָלְשָׁה אָז דַּעְתּוֹ</w:t>
            </w:r>
            <w:r w:rsidRPr="003E29A7">
              <w:rPr>
                <w:rStyle w:val="text"/>
                <w:sz w:val="28"/>
                <w:szCs w:val="28"/>
              </w:rPr>
              <w:t xml:space="preserve">, </w:t>
            </w:r>
            <w:r w:rsidRPr="003E29A7">
              <w:rPr>
                <w:rStyle w:val="text"/>
                <w:sz w:val="28"/>
                <w:szCs w:val="28"/>
                <w:rtl/>
              </w:rPr>
              <w:t>שֶׁלֹּא הָיָה עִמָּהֶם בַּחֲנֻכָּה לֹא הוּא וְלֹא שִׁבְטוֹ. אָמַר לוֹ הַקָּדוֹשׁ בָּרוּךְ הוּא: חַיֶּיךָ, שֶׁלְּךָ גְּדוֹלָה מִשֶּׁלָּהֶם</w:t>
            </w:r>
            <w:r w:rsidRPr="003E29A7">
              <w:rPr>
                <w:rStyle w:val="text"/>
                <w:sz w:val="28"/>
                <w:szCs w:val="28"/>
              </w:rPr>
              <w:t xml:space="preserve">, </w:t>
            </w:r>
            <w:r w:rsidRPr="003E29A7">
              <w:rPr>
                <w:rStyle w:val="text"/>
                <w:sz w:val="28"/>
                <w:szCs w:val="28"/>
                <w:rtl/>
              </w:rPr>
              <w:t>שֶׁאַתָּה מַדְלִיק וּמֵיטִיב אֶת הַנֵּרוֹת</w:t>
            </w:r>
            <w:r w:rsidRPr="003E29A7">
              <w:rPr>
                <w:rStyle w:val="text"/>
                <w:sz w:val="28"/>
                <w:szCs w:val="28"/>
              </w:rPr>
              <w:t>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בְּהַעֲלֹתְךָ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עַל שֵׁם שֶׁהַלַּהַב עוֹלֶה. כָּתוּב בְּהַדְלָקָתָן לְשׁוֹן "עֲלִיָּה</w:t>
            </w:r>
            <w:r w:rsidRPr="003E29A7">
              <w:rPr>
                <w:rStyle w:val="text"/>
                <w:sz w:val="28"/>
                <w:szCs w:val="28"/>
              </w:rPr>
              <w:t xml:space="preserve">" </w:t>
            </w:r>
            <w:r w:rsidRPr="003E29A7">
              <w:rPr>
                <w:rStyle w:val="text"/>
                <w:sz w:val="28"/>
                <w:szCs w:val="28"/>
                <w:rtl/>
              </w:rPr>
              <w:t>שֶׁצָּרִיךְ לְהַדְלִיק עַד שֶׁתְּהֵא שַׁלְהֶבֶת עוֹלָה מֵאֵלֶיהָ. וְעוֹד דָּרְשׁוּ רַבּוֹתֵינוּ: מִכָּאן, שֶׁמַּעֲלָה הָיְתָה לִפְנֵי הַמְּנוֹרָה, שֶׁעָלֶיהָ הַכֹּהֵן עוֹמֵד וּמֵיטִיב</w:t>
            </w:r>
            <w:r w:rsidRPr="003E29A7">
              <w:rPr>
                <w:rStyle w:val="text"/>
                <w:sz w:val="28"/>
                <w:szCs w:val="28"/>
              </w:rPr>
              <w:t>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אֶל-מוּל פְּנֵי הַמְּנוֹרָה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אֶל מוּל נֵר הָאֶמְצָעִי שֶׁאֵינוֹ בַּקָּנִים אֶלָּא בְּגוּף שֶׁל מְנוֹרָה</w:t>
            </w:r>
            <w:r w:rsidRPr="003E29A7">
              <w:rPr>
                <w:rStyle w:val="text"/>
                <w:sz w:val="28"/>
                <w:szCs w:val="28"/>
              </w:rPr>
              <w:t>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יָאִירוּ שִׁבְעַת הַנֵּרוֹת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שִׁשָּׁה שֶׁעַל שֵׁשֶׁת הַקָּנִים שְׁלֹשֶׁת הַמִּזְרָחִיִּים פּוֹנִים לְמוּל הָאֶמְצָעִי הַפְּתִילוֹת שֶׁבָּהֶן וְכֵן שְׁלֹשָׁה הַמַּעֲרָבִיִּים רָאשֵׁי הַפְּתִילוֹת לְמוּל הָאֶמְצָעִי, וְלָמָּה? כְּדֵי שֶׁלֹּא יֹאמְרוּ: לְאוֹרָהּ הוּא צָרִיךְ</w:t>
            </w:r>
            <w:r w:rsidRPr="003E29A7">
              <w:rPr>
                <w:rStyle w:val="text"/>
                <w:sz w:val="28"/>
                <w:szCs w:val="28"/>
              </w:rPr>
              <w:t>: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וַיַּעַשׂ כֵּן אַהֲרֹן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</w:rPr>
              <w:t>(</w:t>
            </w:r>
            <w:r w:rsidRPr="003E29A7">
              <w:rPr>
                <w:rStyle w:val="text"/>
                <w:sz w:val="28"/>
                <w:szCs w:val="28"/>
                <w:rtl/>
              </w:rPr>
              <w:t>ספרי) לְהַגִּיד שִׁבְחוֹ שֶׁל אַהֲרֹן, שֶׁלֹּא שִׁנָּה</w:t>
            </w:r>
            <w:r w:rsidRPr="003E29A7">
              <w:rPr>
                <w:rStyle w:val="text"/>
                <w:sz w:val="28"/>
                <w:szCs w:val="28"/>
              </w:rPr>
              <w:t>: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וְזֶה מַעֲשֵׂה הַמְּנֹרָה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</w:rPr>
              <w:t>(</w:t>
            </w:r>
            <w:r w:rsidRPr="003E29A7">
              <w:rPr>
                <w:rStyle w:val="text"/>
                <w:sz w:val="28"/>
                <w:szCs w:val="28"/>
                <w:rtl/>
              </w:rPr>
              <w:t>שם) שֶׁהֶרְאָהוּ הַקָּדוֹשׁ בָּרוּךְ הוּא בָּאֶצְבַּע, לְפִי שֶׁנִּתְקַשָּׁה בָּהּ, לְכָךְ נֶאֱמַר "וְזֶה</w:t>
            </w:r>
            <w:r w:rsidRPr="003E29A7">
              <w:rPr>
                <w:rStyle w:val="text"/>
                <w:sz w:val="28"/>
                <w:szCs w:val="28"/>
              </w:rPr>
              <w:t>".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מִקְשָׁה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בטדי"ן בְּלַעַז לְשׁוֹן "דָּא לְדָא נָקְשָׁן" (דניאל ה</w:t>
            </w:r>
            <w:r w:rsidRPr="003E29A7">
              <w:rPr>
                <w:rStyle w:val="text"/>
                <w:sz w:val="28"/>
                <w:szCs w:val="28"/>
              </w:rPr>
              <w:t xml:space="preserve">) </w:t>
            </w:r>
            <w:r w:rsidRPr="003E29A7">
              <w:rPr>
                <w:rStyle w:val="text"/>
                <w:sz w:val="28"/>
                <w:szCs w:val="28"/>
                <w:rtl/>
              </w:rPr>
              <w:t>עֶשֶׁת שֶׁל כִּכַּר זָהָב הָיְתָה וּמַקִּישׁ בְּקֻרְנָס וְחוֹתֵךְ בְּכַשִּׁיל לְפַשֵּׁט אֵיבָרֶיהָ כְּתִקּוּנָן, וְלֹא נַעֲשֵׂית אֵיבָרִים אֵיבָרִים עַל יְדֵי חִבּוּר</w:t>
            </w:r>
            <w:r w:rsidRPr="003E29A7">
              <w:rPr>
                <w:rStyle w:val="text"/>
                <w:sz w:val="28"/>
                <w:szCs w:val="28"/>
              </w:rPr>
              <w:t>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עַד-יְרֵכָהּ עַד-פִּרְחָהּ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</w:rPr>
              <w:t>"</w:t>
            </w:r>
            <w:r w:rsidRPr="003E29A7">
              <w:rPr>
                <w:rStyle w:val="text"/>
                <w:sz w:val="28"/>
                <w:szCs w:val="28"/>
                <w:rtl/>
              </w:rPr>
              <w:t>יְרֵכָהּ" הִיא הַשִּׁדָּה שֶׁעַל הָרַגְלַיִם, חָלוּל, כְּדֶרֶךְ מְנוֹרַת כֶּסֶף שֶׁלִּפְנֵי הַשָּׂרִים</w:t>
            </w:r>
            <w:r w:rsidRPr="003E29A7">
              <w:rPr>
                <w:rStyle w:val="text"/>
                <w:sz w:val="28"/>
                <w:szCs w:val="28"/>
              </w:rPr>
              <w:t>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עַד-יְרֵכָהּ עַד-פִּרְחָהּ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כְּלוֹמַר גּוּפָהּ שֶׁל מְנוֹרָה כֻּלָּהּ וְכָל הַתָּלוּי בָּהּ</w:t>
            </w:r>
            <w:r w:rsidRPr="003E29A7">
              <w:rPr>
                <w:rStyle w:val="text"/>
                <w:sz w:val="28"/>
                <w:szCs w:val="28"/>
              </w:rPr>
              <w:t>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עַד-יְרֵכָהּ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שֶׁהוּא אֵיבָר גָּדוֹל</w:t>
            </w:r>
            <w:r w:rsidRPr="003E29A7">
              <w:rPr>
                <w:rStyle w:val="text"/>
                <w:sz w:val="28"/>
                <w:szCs w:val="28"/>
              </w:rPr>
              <w:t>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עַד-פִּרְחָהּ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שֶׁהוּא מַעֲשֶׂה דַּק שֶׁבָּהּ _ הַכֹּל מִקְשָׁה. וְדֶרֶךְ "עַד" לְשַׁמֵּשׁ בִּלְשׁוֹן "זֶה", כְּמוֹ (שופטים טו): "מִגָּדִישׁ וְעַד-קָמָה וְעַד-כֶּרֶם זָיִת</w:t>
            </w:r>
            <w:r w:rsidRPr="003E29A7">
              <w:rPr>
                <w:rStyle w:val="text"/>
                <w:sz w:val="28"/>
                <w:szCs w:val="28"/>
              </w:rPr>
              <w:t>".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E29A7" w:rsidRPr="003E29A7" w:rsidRDefault="003E29A7" w:rsidP="003E29A7">
            <w:pPr>
              <w:pStyle w:val="NormalWeb"/>
              <w:bidi/>
              <w:spacing w:before="0" w:beforeAutospacing="0"/>
              <w:rPr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כַּמַּרְאֶה אֲשֶׁר הֶרְאָה וְגוֹ</w:t>
            </w:r>
            <w:r w:rsidRPr="003E29A7">
              <w:rPr>
                <w:rStyle w:val="name"/>
                <w:sz w:val="28"/>
                <w:szCs w:val="28"/>
              </w:rPr>
              <w:t>',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כַּתַּבְנִית אֲשֶׁר הֶרְאָהוּ בָּהָר, כְּמוֹ שֶׁנֶּאֱמַר (שמות כה): "וּרְאֵה וַעֲשֵׂה בְתַבְנִיתָם וְגוֹ</w:t>
            </w:r>
            <w:r w:rsidRPr="003E29A7">
              <w:rPr>
                <w:rStyle w:val="text"/>
                <w:sz w:val="28"/>
                <w:szCs w:val="28"/>
              </w:rPr>
              <w:t>'".</w:t>
            </w:r>
            <w:r w:rsidRPr="003E29A7">
              <w:rPr>
                <w:sz w:val="28"/>
                <w:szCs w:val="28"/>
              </w:rPr>
              <w:t xml:space="preserve"> </w:t>
            </w:r>
          </w:p>
          <w:p w:rsidR="003F5395" w:rsidRPr="003E29A7" w:rsidRDefault="003E29A7" w:rsidP="003E29A7">
            <w:pPr>
              <w:pStyle w:val="NormalWeb"/>
              <w:bidi/>
              <w:spacing w:before="0" w:beforeAutospacing="0"/>
              <w:rPr>
                <w:rStyle w:val="lev"/>
                <w:b w:val="0"/>
                <w:bCs w:val="0"/>
                <w:sz w:val="28"/>
                <w:szCs w:val="28"/>
              </w:rPr>
            </w:pPr>
            <w:r w:rsidRPr="003E29A7">
              <w:rPr>
                <w:rStyle w:val="name"/>
                <w:sz w:val="28"/>
                <w:szCs w:val="28"/>
                <w:rtl/>
              </w:rPr>
              <w:t>כֵּן עָשָׂה אֶת-הַמְּנֹרָה</w:t>
            </w:r>
            <w:r w:rsidRPr="003E29A7">
              <w:rPr>
                <w:rStyle w:val="name"/>
                <w:sz w:val="28"/>
                <w:szCs w:val="28"/>
              </w:rPr>
              <w:t>,</w:t>
            </w:r>
            <w:r w:rsidRPr="003E29A7">
              <w:rPr>
                <w:sz w:val="28"/>
                <w:szCs w:val="28"/>
              </w:rPr>
              <w:t> </w:t>
            </w:r>
            <w:r w:rsidRPr="003E29A7">
              <w:rPr>
                <w:rStyle w:val="text"/>
                <w:sz w:val="28"/>
                <w:szCs w:val="28"/>
                <w:rtl/>
              </w:rPr>
              <w:t>מִי שֶׁעֲשָׂאָהּ . וּמִדְרַשׁ אַגָּדָה: עַל יְדֵי הַקָּדוֹשׁ בָּרוּךְ הוּא נַעֲשֵׂית מֵאֵלֶיהָ</w:t>
            </w:r>
            <w:r w:rsidRPr="003E29A7">
              <w:rPr>
                <w:rStyle w:val="text"/>
                <w:sz w:val="28"/>
                <w:szCs w:val="28"/>
              </w:rPr>
              <w:t>:</w:t>
            </w:r>
            <w:r w:rsidRPr="003E29A7">
              <w:rPr>
                <w:sz w:val="28"/>
                <w:szCs w:val="28"/>
              </w:rPr>
              <w:t xml:space="preserve"> </w:t>
            </w:r>
          </w:p>
        </w:tc>
      </w:tr>
    </w:tbl>
    <w:p w:rsidR="003F5395" w:rsidRDefault="003F5395" w:rsidP="003F5395">
      <w:pPr>
        <w:pStyle w:val="NormalWeb"/>
        <w:tabs>
          <w:tab w:val="left" w:pos="5303"/>
        </w:tabs>
        <w:spacing w:before="0" w:beforeAutospacing="0" w:after="0" w:afterAutospacing="0"/>
        <w:rPr>
          <w:rFonts w:asciiTheme="majorBidi" w:eastAsiaTheme="minorHAnsi" w:hAnsiTheme="majorBidi" w:cstheme="majorBidi"/>
          <w:lang w:eastAsia="en-US"/>
        </w:rPr>
      </w:pPr>
    </w:p>
    <w:p w:rsidR="009D3AE8" w:rsidRDefault="009D3AE8"/>
    <w:sectPr w:rsidR="009D3AE8" w:rsidSect="00DA07E0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A91"/>
    <w:rsid w:val="001C3DE1"/>
    <w:rsid w:val="003E29A7"/>
    <w:rsid w:val="003F5395"/>
    <w:rsid w:val="00950A91"/>
    <w:rsid w:val="009D3AE8"/>
    <w:rsid w:val="00C351FA"/>
    <w:rsid w:val="00C9273E"/>
    <w:rsid w:val="00FD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39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59"/>
    <w:rsid w:val="003F5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3F5395"/>
    <w:rPr>
      <w:b/>
      <w:bCs/>
    </w:rPr>
  </w:style>
  <w:style w:type="character" w:customStyle="1" w:styleId="text">
    <w:name w:val="text"/>
    <w:basedOn w:val="Policepardfaut"/>
    <w:rsid w:val="003F5395"/>
  </w:style>
  <w:style w:type="character" w:customStyle="1" w:styleId="name">
    <w:name w:val="name"/>
    <w:basedOn w:val="Policepardfaut"/>
    <w:rsid w:val="003F5395"/>
  </w:style>
  <w:style w:type="character" w:customStyle="1" w:styleId="ijaxflowpanellinkedpanelrow">
    <w:name w:val="ijax_flowpanel_linkedpanel_row"/>
    <w:basedOn w:val="Policepardfaut"/>
    <w:rsid w:val="003F53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39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59"/>
    <w:rsid w:val="003F5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3F5395"/>
    <w:rPr>
      <w:b/>
      <w:bCs/>
    </w:rPr>
  </w:style>
  <w:style w:type="character" w:customStyle="1" w:styleId="text">
    <w:name w:val="text"/>
    <w:basedOn w:val="Policepardfaut"/>
    <w:rsid w:val="003F5395"/>
  </w:style>
  <w:style w:type="character" w:customStyle="1" w:styleId="name">
    <w:name w:val="name"/>
    <w:basedOn w:val="Policepardfaut"/>
    <w:rsid w:val="003F5395"/>
  </w:style>
  <w:style w:type="character" w:customStyle="1" w:styleId="ijaxflowpanellinkedpanelrow">
    <w:name w:val="ijax_flowpanel_linkedpanel_row"/>
    <w:basedOn w:val="Policepardfaut"/>
    <w:rsid w:val="003F5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758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3</cp:revision>
  <dcterms:created xsi:type="dcterms:W3CDTF">2017-06-07T12:04:00Z</dcterms:created>
  <dcterms:modified xsi:type="dcterms:W3CDTF">2017-06-07T12:11:00Z</dcterms:modified>
</cp:coreProperties>
</file>