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8528F" w14:textId="77777777" w:rsidR="008E05AD" w:rsidRDefault="008E05AD" w:rsidP="008E05AD">
      <w:pPr>
        <w:pStyle w:val="NormalWeb"/>
        <w:rPr>
          <w:rStyle w:val="text"/>
        </w:rPr>
      </w:pPr>
      <w:r>
        <w:rPr>
          <w:rStyle w:val="text"/>
        </w:rPr>
        <w:t xml:space="preserve">Cours 6 </w:t>
      </w:r>
    </w:p>
    <w:p w14:paraId="26840EDE" w14:textId="77777777" w:rsidR="008E05AD" w:rsidRDefault="008E05AD" w:rsidP="00115702">
      <w:pPr>
        <w:pStyle w:val="NormalWeb"/>
        <w:spacing w:before="0" w:beforeAutospacing="0" w:after="0" w:afterAutospacing="0"/>
        <w:rPr>
          <w:rStyle w:val="text"/>
        </w:rPr>
      </w:pPr>
      <w:proofErr w:type="gramStart"/>
      <w:r>
        <w:rPr>
          <w:rStyle w:val="text"/>
        </w:rPr>
        <w:t>Et</w:t>
      </w:r>
      <w:proofErr w:type="gramEnd"/>
      <w:r>
        <w:rPr>
          <w:rStyle w:val="text"/>
        </w:rPr>
        <w:t xml:space="preserve"> bien qu’il n’y ait pas de preuve à la chose, il y a un indice de cette chose comme il est dit : </w:t>
      </w:r>
      <w:r>
        <w:t>(</w:t>
      </w:r>
      <w:proofErr w:type="spellStart"/>
      <w:r>
        <w:t>Nehémie</w:t>
      </w:r>
      <w:proofErr w:type="spellEnd"/>
      <w:r>
        <w:t xml:space="preserve"> 4 :15)</w:t>
      </w:r>
      <w:r>
        <w:rPr>
          <w:rStyle w:val="ijaxflowpanelid91436"/>
          <w:color w:val="000000"/>
        </w:rPr>
        <w:t> « </w:t>
      </w:r>
      <w:r>
        <w:rPr>
          <w:rStyle w:val="text"/>
          <w:color w:val="000000"/>
        </w:rPr>
        <w:t xml:space="preserve">C'est ainsi que nous nous occupions de l'ouvrage, la moitié des gens tenant les lances depuis le lever de l'aurore </w:t>
      </w:r>
      <w:r w:rsidRPr="0068139F">
        <w:rPr>
          <w:rStyle w:val="text"/>
          <w:b/>
          <w:bCs/>
          <w:color w:val="000000"/>
        </w:rPr>
        <w:t>jusqu'à l'apparition des étoiles</w:t>
      </w:r>
      <w:r>
        <w:rPr>
          <w:rStyle w:val="text"/>
          <w:color w:val="000000"/>
        </w:rPr>
        <w:t>. » et o</w:t>
      </w:r>
      <w:r w:rsidRPr="00571CF5">
        <w:rPr>
          <w:rStyle w:val="text"/>
        </w:rPr>
        <w:t xml:space="preserve">n dit « pour </w:t>
      </w:r>
      <w:r w:rsidRPr="0068139F">
        <w:rPr>
          <w:rStyle w:val="text"/>
          <w:b/>
          <w:bCs/>
        </w:rPr>
        <w:t>nous servir de sentinelles pendant la nuit</w:t>
      </w:r>
      <w:r w:rsidRPr="00571CF5">
        <w:rPr>
          <w:rStyle w:val="text"/>
        </w:rPr>
        <w:t xml:space="preserve"> et consacrer le jour au travail. »</w:t>
      </w:r>
      <w:r>
        <w:rPr>
          <w:rStyle w:val="text"/>
        </w:rPr>
        <w:t xml:space="preserve"> C’est quoi ce « et on dit » ? On pourrait dire (si on avait seulement la première partie) ‘à partir du moment où le soleil se couche, c’est la nuit, et ils restent plus tard et arrivent plus tôt (donc arrivent quand c’est encore la nuit et partent quand c’est déjà la nuit) alors écoute </w:t>
      </w:r>
      <w:r w:rsidRPr="00571CF5">
        <w:rPr>
          <w:rStyle w:val="text"/>
        </w:rPr>
        <w:t>« pour nous servir de sentinelles pendant la nuit et consacrer le jour au travail. »</w:t>
      </w:r>
    </w:p>
    <w:p w14:paraId="333B2919" w14:textId="7BD1743F" w:rsidR="008E05AD" w:rsidRDefault="008E05AD" w:rsidP="00115702">
      <w:pPr>
        <w:pStyle w:val="NormalWeb"/>
        <w:spacing w:before="0" w:beforeAutospacing="0" w:after="0" w:afterAutospacing="0"/>
      </w:pPr>
      <w:r>
        <w:t xml:space="preserve">Il te viendrait à l’esprit que le pauvre et les gens sont une seule et même mesure, les sages sont comme rabbi </w:t>
      </w:r>
      <w:proofErr w:type="spellStart"/>
      <w:r>
        <w:t>Méir</w:t>
      </w:r>
      <w:proofErr w:type="spellEnd"/>
      <w:r>
        <w:t xml:space="preserve"> ! Mais apprends plutôt de cela que le pauvre est une mesure et le </w:t>
      </w:r>
      <w:proofErr w:type="spellStart"/>
      <w:r>
        <w:t>cohen</w:t>
      </w:r>
      <w:proofErr w:type="spellEnd"/>
      <w:r>
        <w:t xml:space="preserve"> est une mesure (différente).  Mais non ! le pauvre et le </w:t>
      </w:r>
      <w:proofErr w:type="spellStart"/>
      <w:r>
        <w:t>cohen</w:t>
      </w:r>
      <w:proofErr w:type="spellEnd"/>
      <w:r>
        <w:t xml:space="preserve"> sont une seule et même mesure, et le pauvre et les gens ne sont pas une même mesure.</w:t>
      </w:r>
    </w:p>
    <w:p w14:paraId="2D658548" w14:textId="77777777" w:rsidR="00115702" w:rsidRDefault="00115702" w:rsidP="00115702">
      <w:pPr>
        <w:pStyle w:val="NormalWeb"/>
        <w:spacing w:before="0" w:beforeAutospacing="0" w:after="0" w:afterAutospacing="0"/>
      </w:pPr>
    </w:p>
    <w:p w14:paraId="7FA484BC" w14:textId="77777777" w:rsidR="008E05AD" w:rsidRDefault="008E05AD" w:rsidP="008E05AD">
      <w:pPr>
        <w:pStyle w:val="NormalWeb"/>
        <w:bidi/>
      </w:pPr>
      <w:r>
        <w:rPr>
          <w:rtl/>
        </w:rPr>
        <w:t xml:space="preserve">ואע"פ שאין ראיה לדבר זכר לדבר שנאמר </w:t>
      </w:r>
      <w:r>
        <w:rPr>
          <w:sz w:val="20"/>
          <w:szCs w:val="20"/>
        </w:rPr>
        <w:t>(</w:t>
      </w:r>
      <w:hyperlink r:id="rId4" w:tooltip="קטגוריה:נחמיה ד טו" w:history="1">
        <w:r>
          <w:rPr>
            <w:rStyle w:val="Lienhypertexte"/>
            <w:sz w:val="20"/>
            <w:szCs w:val="20"/>
            <w:rtl/>
          </w:rPr>
          <w:t>נחמיה ד, טו</w:t>
        </w:r>
      </w:hyperlink>
      <w:r>
        <w:rPr>
          <w:sz w:val="20"/>
          <w:szCs w:val="20"/>
        </w:rPr>
        <w:t>)</w:t>
      </w:r>
      <w:r>
        <w:t xml:space="preserve"> </w:t>
      </w:r>
      <w:r>
        <w:rPr>
          <w:rtl/>
        </w:rPr>
        <w:t xml:space="preserve">ואנחנו עושים במלאכה וחצים מחזיקים ברמחים מעלות השחר עד צאת הכוכבים ואומר </w:t>
      </w:r>
      <w:r>
        <w:rPr>
          <w:sz w:val="20"/>
          <w:szCs w:val="20"/>
        </w:rPr>
        <w:t>(</w:t>
      </w:r>
      <w:hyperlink r:id="rId5" w:tooltip="קטגוריה:נחמיה ד טז" w:history="1">
        <w:r>
          <w:rPr>
            <w:rStyle w:val="Lienhypertexte"/>
            <w:sz w:val="20"/>
            <w:szCs w:val="20"/>
            <w:rtl/>
          </w:rPr>
          <w:t>נחמיה ד, טז</w:t>
        </w:r>
      </w:hyperlink>
      <w:r>
        <w:rPr>
          <w:sz w:val="20"/>
          <w:szCs w:val="20"/>
        </w:rPr>
        <w:t>)</w:t>
      </w:r>
      <w:r>
        <w:t xml:space="preserve"> </w:t>
      </w:r>
      <w:r>
        <w:rPr>
          <w:rtl/>
        </w:rPr>
        <w:t xml:space="preserve">והיו לנו הלילה משמר והיום מלאכה מאי ואומר וכי תימא מכי ערבא שמשא ליליא הוא ואינהו דמחשכי ומקדמי ת"ש והיו לנו הלילה משמר והיום מלאכה קא סלקא דעתך דעני ובני אדם חד שעורא הוא ואי אמרת עני וכהן חד שעורא הוא חכמים היינו רבי מאיר אלא שמע מינה עני שעורא לחוד וכהן שעורא לחוד לא עני וכהן חד שעורא הוא ועני ובני אדם לאו חד שעורא הוא. </w:t>
      </w:r>
    </w:p>
    <w:p w14:paraId="65852CA3" w14:textId="77777777" w:rsidR="008E05AD" w:rsidRDefault="008E05AD" w:rsidP="008E05AD">
      <w:pPr>
        <w:pStyle w:val="NormalWeb"/>
        <w:rPr>
          <w:rStyle w:val="text"/>
        </w:rPr>
      </w:pPr>
      <w:r>
        <w:rPr>
          <w:rStyle w:val="text"/>
        </w:rPr>
        <w:t>6-1 - en quoi la sortie des étoiles indique la nuit ?</w:t>
      </w:r>
    </w:p>
    <w:p w14:paraId="410E4B4C" w14:textId="77777777" w:rsidR="008E05AD" w:rsidRDefault="008E05AD" w:rsidP="008E05AD">
      <w:pPr>
        <w:pStyle w:val="NormalWeb"/>
        <w:bidi/>
      </w:pPr>
      <w:r>
        <w:rPr>
          <w:rtl/>
        </w:rPr>
        <w:t xml:space="preserve">ואע"פ שאין ראיה לדבר זכר לדבר שנאמר </w:t>
      </w:r>
      <w:r>
        <w:rPr>
          <w:sz w:val="20"/>
          <w:szCs w:val="20"/>
        </w:rPr>
        <w:t>(</w:t>
      </w:r>
      <w:hyperlink r:id="rId6" w:tooltip="קטגוריה:נחמיה ד טו" w:history="1">
        <w:r>
          <w:rPr>
            <w:rStyle w:val="Lienhypertexte"/>
            <w:sz w:val="20"/>
            <w:szCs w:val="20"/>
            <w:rtl/>
          </w:rPr>
          <w:t>נחמיה ד, טו</w:t>
        </w:r>
      </w:hyperlink>
      <w:r>
        <w:rPr>
          <w:sz w:val="20"/>
          <w:szCs w:val="20"/>
        </w:rPr>
        <w:t>)</w:t>
      </w:r>
      <w:r>
        <w:t xml:space="preserve"> </w:t>
      </w:r>
      <w:r>
        <w:rPr>
          <w:rtl/>
        </w:rPr>
        <w:t xml:space="preserve">ואנחנו עושים במלאכה וחצים מחזיקים ברמחים מעלות השחר עד צאת הכוכבים ואומר </w:t>
      </w:r>
      <w:r>
        <w:rPr>
          <w:sz w:val="20"/>
          <w:szCs w:val="20"/>
        </w:rPr>
        <w:t>(</w:t>
      </w:r>
      <w:hyperlink r:id="rId7" w:tooltip="קטגוריה:נחמיה ד טז" w:history="1">
        <w:r>
          <w:rPr>
            <w:rStyle w:val="Lienhypertexte"/>
            <w:sz w:val="20"/>
            <w:szCs w:val="20"/>
            <w:rtl/>
          </w:rPr>
          <w:t>נחמיה ד, טז</w:t>
        </w:r>
      </w:hyperlink>
      <w:r>
        <w:rPr>
          <w:sz w:val="20"/>
          <w:szCs w:val="20"/>
        </w:rPr>
        <w:t>)</w:t>
      </w:r>
      <w:r>
        <w:t xml:space="preserve"> </w:t>
      </w:r>
      <w:r>
        <w:rPr>
          <w:rtl/>
        </w:rPr>
        <w:t xml:space="preserve">והיו לנו הלילה משמר והיום מלאכה מאי ואומר וכי תימא מכי ערבא שמשא ליליא הוא ואינהו דמחשכי ומקדמי ת"ש והיו לנו הלילה משמר והיום מלאכה </w:t>
      </w:r>
    </w:p>
    <w:p w14:paraId="5C6B7388" w14:textId="77777777" w:rsidR="008E05AD" w:rsidRDefault="008E05AD" w:rsidP="008E05AD">
      <w:pPr>
        <w:pStyle w:val="NormalWeb"/>
        <w:rPr>
          <w:rStyle w:val="text"/>
        </w:rPr>
      </w:pPr>
      <w:proofErr w:type="gramStart"/>
      <w:r>
        <w:rPr>
          <w:rStyle w:val="text"/>
        </w:rPr>
        <w:t>Et</w:t>
      </w:r>
      <w:proofErr w:type="gramEnd"/>
      <w:r>
        <w:rPr>
          <w:rStyle w:val="text"/>
        </w:rPr>
        <w:t xml:space="preserve"> bien qu’il n’y ait pas de preuve à la chose, il y a un indice de cette chose comme il est dit : </w:t>
      </w:r>
      <w:r>
        <w:t>(</w:t>
      </w:r>
      <w:proofErr w:type="spellStart"/>
      <w:r>
        <w:t>Nehémie</w:t>
      </w:r>
      <w:proofErr w:type="spellEnd"/>
      <w:r>
        <w:t xml:space="preserve"> 4 :15)</w:t>
      </w:r>
      <w:r>
        <w:rPr>
          <w:rStyle w:val="ijaxflowpanelid91436"/>
          <w:color w:val="000000"/>
        </w:rPr>
        <w:t> « </w:t>
      </w:r>
      <w:r>
        <w:rPr>
          <w:rStyle w:val="text"/>
          <w:color w:val="000000"/>
        </w:rPr>
        <w:t xml:space="preserve">C'est ainsi que nous nous occupions de l'ouvrage, la moitié des gens tenant les lances depuis le lever de l'aurore </w:t>
      </w:r>
      <w:r w:rsidRPr="0068139F">
        <w:rPr>
          <w:rStyle w:val="text"/>
          <w:b/>
          <w:bCs/>
          <w:color w:val="000000"/>
        </w:rPr>
        <w:t>jusqu'à l'apparition des étoiles</w:t>
      </w:r>
      <w:r>
        <w:rPr>
          <w:rStyle w:val="text"/>
          <w:color w:val="000000"/>
        </w:rPr>
        <w:t>. » et o</w:t>
      </w:r>
      <w:r w:rsidRPr="00571CF5">
        <w:rPr>
          <w:rStyle w:val="text"/>
        </w:rPr>
        <w:t xml:space="preserve">n dit « pour </w:t>
      </w:r>
      <w:r w:rsidRPr="0068139F">
        <w:rPr>
          <w:rStyle w:val="text"/>
          <w:b/>
          <w:bCs/>
        </w:rPr>
        <w:t>nous servir de sentinelles pendant la nuit</w:t>
      </w:r>
      <w:r w:rsidRPr="00571CF5">
        <w:rPr>
          <w:rStyle w:val="text"/>
        </w:rPr>
        <w:t xml:space="preserve"> et consacrer le jour au travail. »</w:t>
      </w:r>
      <w:r>
        <w:rPr>
          <w:rStyle w:val="text"/>
        </w:rPr>
        <w:t xml:space="preserve"> C’est quoi ce « et on dit » ? On pourrait dire (si on avait seulement la première partie) ‘à partir du moment où le soleil se couche, c’est la nuit, et ils restent plus tard et arrivent plus tôt’ (donc arrivent quand c’est encore la nuit et partent quand c’est déjà la nuit) alors écoute </w:t>
      </w:r>
      <w:r w:rsidRPr="00571CF5">
        <w:rPr>
          <w:rStyle w:val="text"/>
        </w:rPr>
        <w:t>« pour nous servir de sentinelles pendant la nuit et consacrer le jour au travail. »</w:t>
      </w:r>
    </w:p>
    <w:p w14:paraId="213C08D7" w14:textId="77777777" w:rsidR="008E05AD" w:rsidRDefault="008E05AD" w:rsidP="008E05AD">
      <w:pPr>
        <w:pStyle w:val="NormalWeb"/>
        <w:bidi/>
      </w:pPr>
      <w:r>
        <w:rPr>
          <w:sz w:val="20"/>
          <w:szCs w:val="20"/>
        </w:rPr>
        <w:t>(</w:t>
      </w:r>
      <w:hyperlink r:id="rId8" w:tooltip="קטגוריה:נחמיה ד טו" w:history="1">
        <w:r>
          <w:rPr>
            <w:rStyle w:val="Lienhypertexte"/>
            <w:sz w:val="20"/>
            <w:szCs w:val="20"/>
            <w:rtl/>
          </w:rPr>
          <w:t>נחמיה ד, טו</w:t>
        </w:r>
      </w:hyperlink>
      <w:r>
        <w:rPr>
          <w:sz w:val="20"/>
          <w:szCs w:val="20"/>
        </w:rPr>
        <w:t>)</w:t>
      </w:r>
      <w:r>
        <w:t xml:space="preserve"> </w:t>
      </w:r>
      <w:r>
        <w:rPr>
          <w:rtl/>
        </w:rPr>
        <w:t>ואנחנו עושים במלאכה וחצים מחזיקים ברמחים מעלות השחר עד צאת הכוכבים</w:t>
      </w:r>
    </w:p>
    <w:p w14:paraId="172BF12E" w14:textId="77777777" w:rsidR="008E05AD" w:rsidRDefault="008E05AD" w:rsidP="008E05AD">
      <w:pPr>
        <w:pStyle w:val="NormalWeb"/>
        <w:bidi/>
      </w:pPr>
      <w:r>
        <w:rPr>
          <w:sz w:val="20"/>
          <w:szCs w:val="20"/>
        </w:rPr>
        <w:t>(</w:t>
      </w:r>
      <w:hyperlink r:id="rId9" w:tooltip="קטגוריה:נחמיה ד טז" w:history="1">
        <w:r>
          <w:rPr>
            <w:rStyle w:val="Lienhypertexte"/>
            <w:sz w:val="20"/>
            <w:szCs w:val="20"/>
            <w:rtl/>
          </w:rPr>
          <w:t>נחמיה ד, טז</w:t>
        </w:r>
      </w:hyperlink>
      <w:r>
        <w:rPr>
          <w:sz w:val="20"/>
          <w:szCs w:val="20"/>
        </w:rPr>
        <w:t>)</w:t>
      </w:r>
      <w:r>
        <w:t xml:space="preserve"> </w:t>
      </w:r>
      <w:r>
        <w:rPr>
          <w:rtl/>
        </w:rPr>
        <w:t>והיו לנו הלילה משמר והיום מלאכה</w:t>
      </w:r>
    </w:p>
    <w:p w14:paraId="0BD039B8" w14:textId="77777777" w:rsidR="008E05AD" w:rsidRDefault="008E05AD" w:rsidP="008E05AD">
      <w:pPr>
        <w:pStyle w:val="NormalWeb"/>
        <w:rPr>
          <w:rStyle w:val="text"/>
          <w:color w:val="000000"/>
        </w:rPr>
      </w:pPr>
      <w:r>
        <w:t>(</w:t>
      </w:r>
      <w:proofErr w:type="spellStart"/>
      <w:r>
        <w:t>Nehémie</w:t>
      </w:r>
      <w:proofErr w:type="spellEnd"/>
      <w:r>
        <w:t xml:space="preserve"> 4 :15)</w:t>
      </w:r>
      <w:r>
        <w:rPr>
          <w:rStyle w:val="ijaxflowpanelid91436"/>
          <w:color w:val="000000"/>
        </w:rPr>
        <w:t> « </w:t>
      </w:r>
      <w:r>
        <w:rPr>
          <w:rStyle w:val="text"/>
          <w:color w:val="000000"/>
        </w:rPr>
        <w:t xml:space="preserve">C'est ainsi que nous nous occupions de l'ouvrage, la moitié des gens tenant les lances depuis le lever de l'aurore </w:t>
      </w:r>
      <w:r w:rsidRPr="0068139F">
        <w:rPr>
          <w:rStyle w:val="text"/>
          <w:b/>
          <w:bCs/>
          <w:color w:val="000000"/>
        </w:rPr>
        <w:t>jusqu'à l'apparition des étoiles</w:t>
      </w:r>
      <w:r>
        <w:rPr>
          <w:rStyle w:val="text"/>
          <w:color w:val="000000"/>
        </w:rPr>
        <w:t>. » DONC FIN DU JOUR = SORTIE DES ETOILE</w:t>
      </w:r>
    </w:p>
    <w:p w14:paraId="4E4310AC" w14:textId="77777777" w:rsidR="008E05AD" w:rsidRDefault="008E05AD" w:rsidP="008E05AD">
      <w:pPr>
        <w:pStyle w:val="NormalWeb"/>
        <w:rPr>
          <w:rStyle w:val="text"/>
        </w:rPr>
      </w:pPr>
      <w:r>
        <w:rPr>
          <w:rStyle w:val="text"/>
        </w:rPr>
        <w:t>6-2 – comparons les trois sources :</w:t>
      </w:r>
    </w:p>
    <w:p w14:paraId="7DE38599" w14:textId="77777777" w:rsidR="008E05AD" w:rsidRDefault="008E05AD" w:rsidP="008E05AD">
      <w:pPr>
        <w:pStyle w:val="NormalWeb"/>
        <w:bidi/>
      </w:pPr>
      <w:r>
        <w:rPr>
          <w:rtl/>
        </w:rPr>
        <w:t xml:space="preserve">קא סלקא דעתך דעני ובני אדם חד שעורא הוא ואי אמרת עני וכהן חד שעורא הוא חכמים היינו רבי מאיר אלא שמע מינה עני שעורא לחוד וכהן שעורא לחוד לא עני וכהן חד שעורא הוא ועני ובני אדם לאו חד שעורא הוא. </w:t>
      </w:r>
    </w:p>
    <w:p w14:paraId="1C894D19" w14:textId="77777777" w:rsidR="008E05AD" w:rsidRDefault="008E05AD" w:rsidP="008E05AD">
      <w:pPr>
        <w:pStyle w:val="NormalWeb"/>
        <w:rPr>
          <w:rStyle w:val="text"/>
        </w:rPr>
      </w:pPr>
      <w:r>
        <w:lastRenderedPageBreak/>
        <w:t xml:space="preserve">Il te viendrait à l’esprit que le pauvre et les gens sont une seule et même mesure, les sages sont comme rabbi </w:t>
      </w:r>
      <w:proofErr w:type="spellStart"/>
      <w:r>
        <w:t>Méir</w:t>
      </w:r>
      <w:proofErr w:type="spellEnd"/>
      <w:r>
        <w:t xml:space="preserve"> ! Mais apprends plutôt de cela que le pauvre est une mesure et le </w:t>
      </w:r>
      <w:proofErr w:type="spellStart"/>
      <w:r>
        <w:t>cohen</w:t>
      </w:r>
      <w:proofErr w:type="spellEnd"/>
      <w:r>
        <w:t xml:space="preserve"> est une mesure (différente).  Mais non ! le pauvre et le </w:t>
      </w:r>
      <w:proofErr w:type="spellStart"/>
      <w:r>
        <w:t>cohen</w:t>
      </w:r>
      <w:proofErr w:type="spellEnd"/>
      <w:r>
        <w:t xml:space="preserve"> sont une seule et même mesure, et le pauvre et les gens ne sont pas une même mesure.</w:t>
      </w:r>
    </w:p>
    <w:p w14:paraId="5A5F7E24" w14:textId="77777777" w:rsidR="008E05AD" w:rsidRDefault="008E05AD" w:rsidP="008E05AD">
      <w:pPr>
        <w:pStyle w:val="NormalWeb"/>
        <w:rPr>
          <w:rStyle w:val="text"/>
        </w:rPr>
      </w:pPr>
      <w:r>
        <w:rPr>
          <w:rStyle w:val="text"/>
        </w:rPr>
        <w:t xml:space="preserve">Trois versions </w:t>
      </w:r>
    </w:p>
    <w:p w14:paraId="1C76FE8D" w14:textId="77777777" w:rsidR="008E05AD" w:rsidRDefault="008E05AD" w:rsidP="008E05AD">
      <w:pPr>
        <w:pStyle w:val="NormalWeb"/>
        <w:rPr>
          <w:rStyle w:val="text"/>
        </w:rPr>
      </w:pPr>
      <w:r w:rsidRPr="006E7270">
        <w:rPr>
          <w:rStyle w:val="text"/>
          <w:b/>
          <w:bCs/>
        </w:rPr>
        <w:t xml:space="preserve">MICHNA </w:t>
      </w:r>
      <w:r w:rsidRPr="006E7270">
        <w:rPr>
          <w:rStyle w:val="text"/>
          <w:b/>
          <w:bCs/>
        </w:rPr>
        <w:tab/>
        <w:t xml:space="preserve">Prêtres + </w:t>
      </w:r>
      <w:proofErr w:type="spellStart"/>
      <w:r w:rsidRPr="006E7270">
        <w:rPr>
          <w:rStyle w:val="text"/>
          <w:b/>
          <w:bCs/>
        </w:rPr>
        <w:t>térouma</w:t>
      </w:r>
      <w:proofErr w:type="spellEnd"/>
      <w:r>
        <w:rPr>
          <w:rStyle w:val="text"/>
        </w:rPr>
        <w:t xml:space="preserve"> « à partir du moment où les prêtres rentrent pour manger de leur </w:t>
      </w:r>
      <w:proofErr w:type="spellStart"/>
      <w:r>
        <w:rPr>
          <w:rStyle w:val="text"/>
        </w:rPr>
        <w:t>térouma</w:t>
      </w:r>
      <w:proofErr w:type="spellEnd"/>
      <w:r>
        <w:rPr>
          <w:rStyle w:val="text"/>
        </w:rPr>
        <w:t> »</w:t>
      </w:r>
    </w:p>
    <w:p w14:paraId="1C10280A" w14:textId="77777777" w:rsidR="008E05AD" w:rsidRDefault="008E05AD" w:rsidP="008E05AD">
      <w:pPr>
        <w:pStyle w:val="NormalWeb"/>
        <w:rPr>
          <w:rStyle w:val="text"/>
        </w:rPr>
      </w:pPr>
      <w:r w:rsidRPr="006E7270">
        <w:rPr>
          <w:rStyle w:val="text"/>
          <w:b/>
          <w:bCs/>
        </w:rPr>
        <w:t xml:space="preserve">BERAITA      </w:t>
      </w:r>
      <w:r w:rsidRPr="006E7270">
        <w:rPr>
          <w:rStyle w:val="text"/>
          <w:b/>
          <w:bCs/>
        </w:rPr>
        <w:tab/>
        <w:t>Pauvre + repas «</w:t>
      </w:r>
      <w:r>
        <w:rPr>
          <w:rStyle w:val="text"/>
        </w:rPr>
        <w:t> à partir du moment où le pauvre entre pour manger de son quignon dans le pain jusqu’au moment où il se préparer à se séparer de son repas »</w:t>
      </w:r>
    </w:p>
    <w:p w14:paraId="32DCBFAE" w14:textId="77777777" w:rsidR="008E05AD" w:rsidRPr="006E7270" w:rsidRDefault="008E05AD" w:rsidP="008E05AD">
      <w:pPr>
        <w:pStyle w:val="NormalWeb"/>
        <w:rPr>
          <w:rStyle w:val="text"/>
          <w:b/>
          <w:bCs/>
        </w:rPr>
      </w:pPr>
      <w:r w:rsidRPr="006E7270">
        <w:rPr>
          <w:rStyle w:val="text"/>
          <w:b/>
          <w:bCs/>
        </w:rPr>
        <w:t xml:space="preserve">TOSSEFTA </w:t>
      </w:r>
      <w:r w:rsidRPr="006E7270">
        <w:rPr>
          <w:rStyle w:val="text"/>
          <w:b/>
          <w:bCs/>
        </w:rPr>
        <w:tab/>
      </w:r>
      <w:proofErr w:type="spellStart"/>
      <w:proofErr w:type="gramStart"/>
      <w:r w:rsidRPr="006E7270">
        <w:rPr>
          <w:rStyle w:val="text"/>
          <w:b/>
          <w:bCs/>
        </w:rPr>
        <w:t>R.Méir</w:t>
      </w:r>
      <w:proofErr w:type="spellEnd"/>
      <w:proofErr w:type="gramEnd"/>
      <w:r w:rsidRPr="006E7270">
        <w:rPr>
          <w:rStyle w:val="text"/>
          <w:b/>
          <w:bCs/>
        </w:rPr>
        <w:t xml:space="preserve"> Gens</w:t>
      </w:r>
      <w:r>
        <w:rPr>
          <w:rStyle w:val="text"/>
          <w:b/>
          <w:bCs/>
        </w:rPr>
        <w:t xml:space="preserve"> </w:t>
      </w:r>
      <w:r w:rsidRPr="006E7270">
        <w:rPr>
          <w:rStyle w:val="text"/>
          <w:b/>
          <w:bCs/>
        </w:rPr>
        <w:t>+</w:t>
      </w:r>
      <w:r>
        <w:rPr>
          <w:rStyle w:val="text"/>
          <w:b/>
          <w:bCs/>
        </w:rPr>
        <w:t xml:space="preserve"> </w:t>
      </w:r>
      <w:r w:rsidRPr="006E7270">
        <w:rPr>
          <w:rStyle w:val="text"/>
          <w:b/>
          <w:bCs/>
        </w:rPr>
        <w:t xml:space="preserve">repas chabbat &gt;&lt; sages Prêtres+ </w:t>
      </w:r>
      <w:proofErr w:type="spellStart"/>
      <w:r w:rsidRPr="006E7270">
        <w:rPr>
          <w:rStyle w:val="text"/>
          <w:b/>
          <w:bCs/>
        </w:rPr>
        <w:t>térouma</w:t>
      </w:r>
      <w:proofErr w:type="spellEnd"/>
      <w:r w:rsidRPr="006E7270">
        <w:rPr>
          <w:rStyle w:val="text"/>
          <w:b/>
          <w:bCs/>
        </w:rPr>
        <w:t xml:space="preserve"> </w:t>
      </w:r>
    </w:p>
    <w:p w14:paraId="59B24AF4" w14:textId="77777777" w:rsidR="008E05AD" w:rsidRDefault="008E05AD" w:rsidP="008E05AD">
      <w:pPr>
        <w:pStyle w:val="NormalWeb"/>
        <w:rPr>
          <w:rStyle w:val="text"/>
        </w:rPr>
      </w:pPr>
      <w:r>
        <w:rPr>
          <w:rStyle w:val="text"/>
        </w:rPr>
        <w:t xml:space="preserve">« à partir du moment où les gens rentrent pour manger de leur quignon le soir du chabbat selon rabbi </w:t>
      </w:r>
      <w:proofErr w:type="spellStart"/>
      <w:r>
        <w:rPr>
          <w:rStyle w:val="text"/>
        </w:rPr>
        <w:t>Méir</w:t>
      </w:r>
      <w:proofErr w:type="spellEnd"/>
    </w:p>
    <w:p w14:paraId="27F25D31" w14:textId="77777777" w:rsidR="008E05AD" w:rsidRDefault="008E05AD" w:rsidP="008E05AD">
      <w:pPr>
        <w:pStyle w:val="NormalWeb"/>
        <w:rPr>
          <w:rStyle w:val="text"/>
        </w:rPr>
      </w:pPr>
      <w:r>
        <w:rPr>
          <w:rStyle w:val="text"/>
        </w:rPr>
        <w:t xml:space="preserve">Les sages disent : à partir du moment où les prêtres ont le droit de manger de leur </w:t>
      </w:r>
      <w:proofErr w:type="spellStart"/>
      <w:r>
        <w:rPr>
          <w:rStyle w:val="text"/>
        </w:rPr>
        <w:t>térouma</w:t>
      </w:r>
      <w:proofErr w:type="spellEnd"/>
      <w:r>
        <w:rPr>
          <w:rStyle w:val="text"/>
        </w:rPr>
        <w:t>, et le signe en est la sortie des étoiles »</w:t>
      </w:r>
    </w:p>
    <w:p w14:paraId="17EDDF85" w14:textId="77777777" w:rsidR="008E05AD" w:rsidRDefault="008E05AD" w:rsidP="008E05AD">
      <w:pPr>
        <w:pStyle w:val="NormalWeb"/>
      </w:pPr>
      <w:r>
        <w:t>Si pauvre = gens alors RM (gens) = Sages (prêtres) (</w:t>
      </w:r>
      <w:proofErr w:type="spellStart"/>
      <w:r>
        <w:t>ssi</w:t>
      </w:r>
      <w:proofErr w:type="spellEnd"/>
      <w:r>
        <w:t xml:space="preserve"> prêtres = pauvres)</w:t>
      </w:r>
    </w:p>
    <w:p w14:paraId="1BA4A612" w14:textId="77777777" w:rsidR="008E05AD" w:rsidRDefault="008E05AD" w:rsidP="008E05AD">
      <w:pPr>
        <w:pStyle w:val="NormalWeb"/>
      </w:pPr>
      <w:r>
        <w:t xml:space="preserve">Michna – R Eliezer – </w:t>
      </w:r>
      <w:proofErr w:type="spellStart"/>
      <w:r>
        <w:t>cohen</w:t>
      </w:r>
      <w:proofErr w:type="spellEnd"/>
      <w:r>
        <w:t xml:space="preserve"> </w:t>
      </w:r>
      <w:proofErr w:type="spellStart"/>
      <w:r>
        <w:t>térouma</w:t>
      </w:r>
      <w:proofErr w:type="spellEnd"/>
    </w:p>
    <w:p w14:paraId="1683AF39" w14:textId="77777777" w:rsidR="008E05AD" w:rsidRDefault="008E05AD" w:rsidP="008E05AD">
      <w:pPr>
        <w:pStyle w:val="NormalWeb"/>
      </w:pPr>
      <w:proofErr w:type="spellStart"/>
      <w:r>
        <w:t>Béraïta</w:t>
      </w:r>
      <w:proofErr w:type="spellEnd"/>
      <w:r>
        <w:t xml:space="preserve"> </w:t>
      </w:r>
      <w:proofErr w:type="gramStart"/>
      <w:r>
        <w:t>-  -</w:t>
      </w:r>
      <w:proofErr w:type="gramEnd"/>
      <w:r>
        <w:t xml:space="preserve"> pauvre</w:t>
      </w:r>
    </w:p>
    <w:p w14:paraId="54E5D767" w14:textId="77777777" w:rsidR="008E05AD" w:rsidRDefault="008E05AD" w:rsidP="008E05AD">
      <w:pPr>
        <w:pStyle w:val="NormalWeb"/>
      </w:pPr>
      <w:proofErr w:type="spellStart"/>
      <w:r>
        <w:t>Tossefta</w:t>
      </w:r>
      <w:proofErr w:type="spellEnd"/>
      <w:r>
        <w:t xml:space="preserve"> – R </w:t>
      </w:r>
      <w:proofErr w:type="spellStart"/>
      <w:r>
        <w:t>Méir</w:t>
      </w:r>
      <w:proofErr w:type="spellEnd"/>
      <w:r>
        <w:t xml:space="preserve"> – gens soir du </w:t>
      </w:r>
      <w:proofErr w:type="gramStart"/>
      <w:r>
        <w:t>chabbat  &gt;</w:t>
      </w:r>
      <w:proofErr w:type="gramEnd"/>
      <w:r>
        <w:t xml:space="preserve">&lt; sages – prêtres </w:t>
      </w:r>
      <w:proofErr w:type="spellStart"/>
      <w:r>
        <w:t>térouma</w:t>
      </w:r>
      <w:proofErr w:type="spellEnd"/>
      <w:r>
        <w:t xml:space="preserve"> </w:t>
      </w:r>
    </w:p>
    <w:p w14:paraId="2F76805E" w14:textId="77777777" w:rsidR="000A543F" w:rsidRDefault="000A543F"/>
    <w:sectPr w:rsidR="000A54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5AD"/>
    <w:rsid w:val="000A543F"/>
    <w:rsid w:val="00115702"/>
    <w:rsid w:val="008E05AD"/>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319F7"/>
  <w15:chartTrackingRefBased/>
  <w15:docId w15:val="{073D7816-5993-426F-85EB-9C9716396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E05AD"/>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8E05AD"/>
    <w:rPr>
      <w:color w:val="0000FF"/>
      <w:u w:val="single"/>
    </w:rPr>
  </w:style>
  <w:style w:type="character" w:customStyle="1" w:styleId="text">
    <w:name w:val="text"/>
    <w:basedOn w:val="Policepardfaut"/>
    <w:rsid w:val="008E05AD"/>
  </w:style>
  <w:style w:type="character" w:customStyle="1" w:styleId="ijaxflowpanelid91436">
    <w:name w:val="ijax_flowpanel_id_91436"/>
    <w:basedOn w:val="Policepardfaut"/>
    <w:rsid w:val="008E05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wikisource.org/wiki/%D7%A7%D7%98%D7%92%D7%95%D7%A8%D7%99%D7%94:%D7%A0%D7%97%D7%9E%D7%99%D7%94_%D7%93_%D7%98%D7%95" TargetMode="External"/><Relationship Id="rId3" Type="http://schemas.openxmlformats.org/officeDocument/2006/relationships/webSettings" Target="webSettings.xml"/><Relationship Id="rId7" Type="http://schemas.openxmlformats.org/officeDocument/2006/relationships/hyperlink" Target="https://he.wikisource.org/wiki/%D7%A7%D7%98%D7%92%D7%95%D7%A8%D7%99%D7%94:%D7%A0%D7%97%D7%9E%D7%99%D7%94_%D7%93_%D7%98%D7%9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e.wikisource.org/wiki/%D7%A7%D7%98%D7%92%D7%95%D7%A8%D7%99%D7%94:%D7%A0%D7%97%D7%9E%D7%99%D7%94_%D7%93_%D7%98%D7%95" TargetMode="External"/><Relationship Id="rId11" Type="http://schemas.openxmlformats.org/officeDocument/2006/relationships/theme" Target="theme/theme1.xml"/><Relationship Id="rId5" Type="http://schemas.openxmlformats.org/officeDocument/2006/relationships/hyperlink" Target="https://he.wikisource.org/wiki/%D7%A7%D7%98%D7%92%D7%95%D7%A8%D7%99%D7%94:%D7%A0%D7%97%D7%9E%D7%99%D7%94_%D7%93_%D7%98%D7%96" TargetMode="External"/><Relationship Id="rId10" Type="http://schemas.openxmlformats.org/officeDocument/2006/relationships/fontTable" Target="fontTable.xml"/><Relationship Id="rId4" Type="http://schemas.openxmlformats.org/officeDocument/2006/relationships/hyperlink" Target="https://he.wikisource.org/wiki/%D7%A7%D7%98%D7%92%D7%95%D7%A8%D7%99%D7%94:%D7%A0%D7%97%D7%9E%D7%99%D7%94_%D7%93_%D7%98%D7%95" TargetMode="External"/><Relationship Id="rId9" Type="http://schemas.openxmlformats.org/officeDocument/2006/relationships/hyperlink" Target="https://he.wikisource.org/wiki/%D7%A7%D7%98%D7%92%D7%95%D7%A8%D7%99%D7%94:%D7%A0%D7%97%D7%9E%D7%99%D7%94_%D7%93_%D7%98%D7%96"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813</Words>
  <Characters>4476</Characters>
  <Application>Microsoft Office Word</Application>
  <DocSecurity>0</DocSecurity>
  <Lines>37</Lines>
  <Paragraphs>10</Paragraphs>
  <ScaleCrop>false</ScaleCrop>
  <Company/>
  <LinksUpToDate>false</LinksUpToDate>
  <CharactersWithSpaces>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2021-04-14T09:05:00Z</dcterms:created>
  <dcterms:modified xsi:type="dcterms:W3CDTF">2021-04-14T09:06:00Z</dcterms:modified>
</cp:coreProperties>
</file>